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96" w:rsidRDefault="005B0796" w:rsidP="00616340">
      <w:pPr>
        <w:tabs>
          <w:tab w:val="left" w:pos="-1440"/>
          <w:tab w:val="left" w:pos="-720"/>
          <w:tab w:val="left" w:pos="0"/>
          <w:tab w:val="left" w:pos="720"/>
          <w:tab w:val="left" w:pos="1440"/>
          <w:tab w:val="left" w:pos="2160"/>
          <w:tab w:val="left" w:pos="2880"/>
          <w:tab w:val="left" w:pos="3600"/>
          <w:tab w:val="left" w:pos="4320"/>
          <w:tab w:val="left" w:pos="5040"/>
          <w:tab w:val="right" w:pos="9990"/>
          <w:tab w:val="left" w:pos="10080"/>
        </w:tabs>
        <w:jc w:val="both"/>
        <w:rPr>
          <w:rFonts w:ascii="Arial" w:hAnsi="Arial"/>
        </w:rPr>
      </w:pPr>
      <w:r>
        <w:rPr>
          <w:rFonts w:ascii="Arial" w:hAnsi="Arial"/>
          <w:b/>
          <w:sz w:val="36"/>
        </w:rPr>
        <w:t>LOS MEDANOS COLLEGE</w:t>
      </w:r>
      <w:r>
        <w:t xml:space="preserve">  </w:t>
      </w:r>
      <w:r>
        <w:rPr>
          <w:rFonts w:ascii="Arial" w:hAnsi="Arial"/>
          <w:sz w:val="18"/>
        </w:rPr>
        <w:t>Shared Governance Council</w:t>
      </w:r>
      <w:r>
        <w:rPr>
          <w:rFonts w:ascii="Arial" w:hAnsi="Arial"/>
          <w:sz w:val="18"/>
        </w:rPr>
        <w:tab/>
      </w:r>
      <w:r w:rsidR="00593EFD">
        <w:rPr>
          <w:rFonts w:ascii="Arial" w:hAnsi="Arial"/>
        </w:rPr>
        <w:t>March 28</w:t>
      </w:r>
      <w:r w:rsidR="00DE2FC4">
        <w:rPr>
          <w:rFonts w:ascii="Arial" w:hAnsi="Arial"/>
        </w:rPr>
        <w:t>, 2011</w:t>
      </w:r>
    </w:p>
    <w:p w:rsidR="005B0796" w:rsidRPr="00616340" w:rsidRDefault="005B0796">
      <w:pPr>
        <w:spacing w:line="72" w:lineRule="exact"/>
        <w:jc w:val="both"/>
        <w:rPr>
          <w:rFonts w:ascii="Arial" w:hAnsi="Arial"/>
          <w:sz w:val="16"/>
          <w:szCs w:val="16"/>
        </w:rPr>
      </w:pPr>
      <w:r w:rsidRPr="00616340">
        <w:rPr>
          <w:noProof/>
          <w:snapToGrid/>
          <w:sz w:val="16"/>
          <w:szCs w:val="16"/>
        </w:rPr>
        <w:pict>
          <v:rect id="_x0000_s1026" style="position:absolute;left:0;text-align:left;margin-left:51pt;margin-top:1pt;width:7in;height:3.6pt;z-index:-251659264;mso-position-horizontal-relative:page" fillcolor="black" stroked="f" strokeweight="0">
            <v:fill color2="black"/>
            <w10:wrap anchorx="page"/>
            <w10:anchorlock/>
          </v:rect>
        </w:pict>
      </w:r>
    </w:p>
    <w:p w:rsidR="005B0796" w:rsidRPr="00616340" w:rsidRDefault="005B0796">
      <w:pPr>
        <w:jc w:val="both"/>
        <w:rPr>
          <w:rFonts w:ascii="Arial" w:hAnsi="Arial"/>
          <w:sz w:val="16"/>
          <w:szCs w:val="16"/>
        </w:rPr>
      </w:pPr>
    </w:p>
    <w:p w:rsidR="005B0796" w:rsidRDefault="005B0796">
      <w:pPr>
        <w:jc w:val="both"/>
        <w:rPr>
          <w:rFonts w:ascii="Arial" w:hAnsi="Arial"/>
        </w:rPr>
      </w:pPr>
      <w:r>
        <w:rPr>
          <w:rFonts w:ascii="Arial" w:hAnsi="Arial"/>
          <w:b/>
        </w:rPr>
        <w:t>TO</w:t>
      </w:r>
      <w:r>
        <w:rPr>
          <w:rFonts w:ascii="Arial" w:hAnsi="Arial"/>
        </w:rPr>
        <w:t>:</w:t>
      </w:r>
      <w:r>
        <w:rPr>
          <w:rFonts w:ascii="Arial" w:hAnsi="Arial"/>
        </w:rPr>
        <w:tab/>
      </w:r>
      <w:r>
        <w:rPr>
          <w:rFonts w:ascii="Arial" w:hAnsi="Arial"/>
        </w:rPr>
        <w:tab/>
      </w:r>
      <w:r w:rsidR="00EB3738">
        <w:rPr>
          <w:rFonts w:ascii="Arial" w:hAnsi="Arial"/>
        </w:rPr>
        <w:t>Richard Liv</w:t>
      </w:r>
      <w:r w:rsidR="00DE2FC4">
        <w:rPr>
          <w:rFonts w:ascii="Arial" w:hAnsi="Arial"/>
        </w:rPr>
        <w:t>ingston</w:t>
      </w:r>
    </w:p>
    <w:p w:rsidR="005B0796" w:rsidRPr="00616340" w:rsidRDefault="005B0796">
      <w:pPr>
        <w:jc w:val="both"/>
        <w:rPr>
          <w:rFonts w:ascii="Arial" w:hAnsi="Arial"/>
          <w:sz w:val="16"/>
          <w:szCs w:val="16"/>
        </w:rPr>
      </w:pPr>
    </w:p>
    <w:p w:rsidR="005B0796" w:rsidRDefault="005B0796">
      <w:pPr>
        <w:jc w:val="both"/>
        <w:outlineLvl w:val="0"/>
        <w:rPr>
          <w:rFonts w:ascii="Arial" w:hAnsi="Arial"/>
        </w:rPr>
      </w:pPr>
      <w:r>
        <w:rPr>
          <w:rFonts w:ascii="Arial" w:hAnsi="Arial"/>
          <w:b/>
        </w:rPr>
        <w:t>FROM:</w:t>
      </w:r>
      <w:r>
        <w:rPr>
          <w:rFonts w:ascii="Arial" w:hAnsi="Arial"/>
        </w:rPr>
        <w:tab/>
        <w:t>Shared Governance Council (prepared by Bruce Cutler)</w:t>
      </w:r>
    </w:p>
    <w:p w:rsidR="005B0796" w:rsidRPr="00616340" w:rsidRDefault="005B0796">
      <w:pPr>
        <w:jc w:val="both"/>
        <w:outlineLvl w:val="0"/>
        <w:rPr>
          <w:rFonts w:ascii="Arial" w:hAnsi="Arial"/>
          <w:sz w:val="16"/>
          <w:szCs w:val="16"/>
        </w:rPr>
      </w:pPr>
    </w:p>
    <w:p w:rsidR="005B0796" w:rsidRDefault="00863424">
      <w:pPr>
        <w:ind w:left="1440" w:hanging="1440"/>
        <w:jc w:val="both"/>
        <w:rPr>
          <w:rFonts w:ascii="Arial" w:hAnsi="Arial"/>
          <w:b/>
        </w:rPr>
      </w:pPr>
      <w:r>
        <w:rPr>
          <w:rFonts w:ascii="Arial" w:hAnsi="Arial"/>
          <w:b/>
        </w:rPr>
        <w:t>RE:</w:t>
      </w:r>
      <w:r>
        <w:rPr>
          <w:rFonts w:ascii="Arial" w:hAnsi="Arial"/>
          <w:b/>
        </w:rPr>
        <w:tab/>
      </w:r>
      <w:r>
        <w:rPr>
          <w:rFonts w:ascii="Arial" w:hAnsi="Arial"/>
          <w:b/>
        </w:rPr>
        <w:tab/>
        <w:t xml:space="preserve">FY </w:t>
      </w:r>
      <w:r w:rsidR="00DE2FC4">
        <w:rPr>
          <w:rFonts w:ascii="Arial" w:hAnsi="Arial"/>
          <w:b/>
        </w:rPr>
        <w:t>10-11</w:t>
      </w:r>
      <w:r w:rsidR="005B0796">
        <w:rPr>
          <w:rFonts w:ascii="Arial" w:hAnsi="Arial"/>
          <w:b/>
        </w:rPr>
        <w:t xml:space="preserve"> </w:t>
      </w:r>
      <w:r>
        <w:rPr>
          <w:rFonts w:ascii="Arial" w:hAnsi="Arial"/>
          <w:b/>
        </w:rPr>
        <w:t>Resource Allocation Process –</w:t>
      </w:r>
      <w:r w:rsidR="00B53A62">
        <w:rPr>
          <w:rFonts w:ascii="Arial" w:hAnsi="Arial"/>
          <w:b/>
        </w:rPr>
        <w:t xml:space="preserve"> </w:t>
      </w:r>
      <w:r w:rsidR="005B0796">
        <w:rPr>
          <w:rFonts w:ascii="Arial" w:hAnsi="Arial"/>
          <w:b/>
        </w:rPr>
        <w:t xml:space="preserve">Recommendation </w:t>
      </w:r>
    </w:p>
    <w:p w:rsidR="005B0796" w:rsidRPr="006926C0" w:rsidRDefault="005B0796">
      <w:pPr>
        <w:jc w:val="both"/>
        <w:rPr>
          <w:rFonts w:ascii="Arial" w:hAnsi="Arial"/>
          <w:sz w:val="16"/>
          <w:szCs w:val="16"/>
        </w:rPr>
      </w:pPr>
    </w:p>
    <w:p w:rsidR="005B0796" w:rsidRPr="006926C0" w:rsidRDefault="00616340">
      <w:pPr>
        <w:jc w:val="both"/>
        <w:rPr>
          <w:rFonts w:ascii="Arial" w:hAnsi="Arial"/>
          <w:sz w:val="16"/>
          <w:szCs w:val="16"/>
        </w:rPr>
      </w:pPr>
      <w:r w:rsidRPr="006926C0">
        <w:rPr>
          <w:rFonts w:ascii="Arial" w:hAnsi="Arial"/>
          <w:noProof/>
          <w:snapToGrid/>
          <w:sz w:val="16"/>
          <w:szCs w:val="16"/>
        </w:rPr>
        <w:pict>
          <v:polyline id="_x0000_s1028" style="position:absolute;left:0;text-align:left;z-index:251658240" points="0,1.6pt,502pt,3.5pt" coordsize="10040,38" o:allowincell="f" filled="f">
            <v:path arrowok="t"/>
          </v:polyline>
        </w:pict>
      </w:r>
    </w:p>
    <w:p w:rsidR="005B0796" w:rsidRPr="0064254F" w:rsidRDefault="005B0796" w:rsidP="009828EF">
      <w:pPr>
        <w:pStyle w:val="BodyText"/>
        <w:jc w:val="left"/>
      </w:pPr>
      <w:r>
        <w:t>This memo forwards the Shared Governance Council</w:t>
      </w:r>
      <w:r w:rsidR="002A72EA">
        <w:t xml:space="preserve">’s recommendations for the </w:t>
      </w:r>
      <w:r w:rsidR="00EB3738">
        <w:t>10-11</w:t>
      </w:r>
      <w:r>
        <w:t xml:space="preserve"> </w:t>
      </w:r>
      <w:r w:rsidR="00DB5FFA">
        <w:t>Resource Allocation Process.</w:t>
      </w:r>
      <w:r w:rsidR="0064254F">
        <w:t xml:space="preserve"> As it does annually, the Council adhered to the guiding principle that it would evaluate proposals based on their merit regardless of funding sources and availability. However, in this difficult </w:t>
      </w:r>
      <w:r w:rsidR="0064254F" w:rsidRPr="00A72581">
        <w:t>budgetary time the Council did address w</w:t>
      </w:r>
      <w:r w:rsidR="00701955" w:rsidRPr="00A72581">
        <w:t>ays in which certain projects c</w:t>
      </w:r>
      <w:r w:rsidR="001C52FA">
        <w:t>ould consider</w:t>
      </w:r>
      <w:r w:rsidR="0064254F" w:rsidRPr="00A72581">
        <w:t xml:space="preserve"> alternate sources of funding or scale back the proposed budgets.</w:t>
      </w:r>
      <w:r w:rsidR="0064254F">
        <w:t xml:space="preserve"> </w:t>
      </w:r>
    </w:p>
    <w:p w:rsidR="0064254F" w:rsidRDefault="0064254F" w:rsidP="009828EF">
      <w:pPr>
        <w:pStyle w:val="Heading1"/>
        <w:jc w:val="left"/>
      </w:pPr>
    </w:p>
    <w:p w:rsidR="00423423" w:rsidRPr="00EB3738" w:rsidRDefault="006918B3" w:rsidP="009828EF">
      <w:pPr>
        <w:pStyle w:val="Heading1"/>
        <w:jc w:val="left"/>
        <w:rPr>
          <w:rFonts w:cs="Arial"/>
          <w:szCs w:val="24"/>
        </w:rPr>
      </w:pPr>
      <w:r w:rsidRPr="00EB3738">
        <w:rPr>
          <w:rFonts w:cs="Arial"/>
          <w:szCs w:val="24"/>
        </w:rPr>
        <w:t>Program Improvement and Development Proposals</w:t>
      </w:r>
    </w:p>
    <w:p w:rsidR="006918B3" w:rsidRPr="00EB3738" w:rsidRDefault="0064254F" w:rsidP="009828EF">
      <w:pPr>
        <w:rPr>
          <w:rFonts w:ascii="Arial" w:hAnsi="Arial" w:cs="Arial"/>
          <w:szCs w:val="24"/>
        </w:rPr>
      </w:pPr>
      <w:r w:rsidRPr="00EB3738">
        <w:rPr>
          <w:rFonts w:ascii="Arial" w:hAnsi="Arial" w:cs="Arial"/>
          <w:szCs w:val="24"/>
        </w:rPr>
        <w:t xml:space="preserve">The </w:t>
      </w:r>
      <w:r w:rsidR="00C94F4A" w:rsidRPr="00EB3738">
        <w:rPr>
          <w:rFonts w:ascii="Arial" w:hAnsi="Arial" w:cs="Arial"/>
          <w:szCs w:val="24"/>
        </w:rPr>
        <w:t>Shared Governance Council (</w:t>
      </w:r>
      <w:r w:rsidRPr="00EB3738">
        <w:rPr>
          <w:rFonts w:ascii="Arial" w:hAnsi="Arial" w:cs="Arial"/>
          <w:szCs w:val="24"/>
        </w:rPr>
        <w:t>Council</w:t>
      </w:r>
      <w:r w:rsidR="00C94F4A" w:rsidRPr="00EB3738">
        <w:rPr>
          <w:rFonts w:ascii="Arial" w:hAnsi="Arial" w:cs="Arial"/>
          <w:szCs w:val="24"/>
        </w:rPr>
        <w:t>)</w:t>
      </w:r>
      <w:r w:rsidRPr="00EB3738">
        <w:rPr>
          <w:rFonts w:ascii="Arial" w:hAnsi="Arial" w:cs="Arial"/>
          <w:szCs w:val="24"/>
        </w:rPr>
        <w:t xml:space="preserve"> considered </w:t>
      </w:r>
      <w:r w:rsidR="00EB3738">
        <w:rPr>
          <w:rFonts w:ascii="Arial" w:hAnsi="Arial" w:cs="Arial"/>
          <w:szCs w:val="24"/>
        </w:rPr>
        <w:t>8</w:t>
      </w:r>
      <w:r w:rsidR="006918B3" w:rsidRPr="00EB3738">
        <w:rPr>
          <w:rFonts w:ascii="Arial" w:hAnsi="Arial" w:cs="Arial"/>
          <w:szCs w:val="24"/>
        </w:rPr>
        <w:t xml:space="preserve"> Progr</w:t>
      </w:r>
      <w:r w:rsidR="00C94F4A" w:rsidRPr="00EB3738">
        <w:rPr>
          <w:rFonts w:ascii="Arial" w:hAnsi="Arial" w:cs="Arial"/>
          <w:szCs w:val="24"/>
        </w:rPr>
        <w:t>am Improvement and Development p</w:t>
      </w:r>
      <w:r w:rsidR="006918B3" w:rsidRPr="00EB3738">
        <w:rPr>
          <w:rFonts w:ascii="Arial" w:hAnsi="Arial" w:cs="Arial"/>
          <w:szCs w:val="24"/>
        </w:rPr>
        <w:t>roposals</w:t>
      </w:r>
      <w:r w:rsidR="00005581">
        <w:rPr>
          <w:rFonts w:ascii="Arial" w:hAnsi="Arial" w:cs="Arial"/>
          <w:szCs w:val="24"/>
        </w:rPr>
        <w:t xml:space="preserve"> and categorized them into two distinct bands listed below.  The Council discussed the </w:t>
      </w:r>
      <w:r w:rsidR="001C52FA">
        <w:rPr>
          <w:rFonts w:ascii="Arial" w:hAnsi="Arial" w:cs="Arial"/>
          <w:szCs w:val="24"/>
        </w:rPr>
        <w:t xml:space="preserve">importance of </w:t>
      </w:r>
      <w:r w:rsidR="00005581">
        <w:rPr>
          <w:rFonts w:ascii="Arial" w:hAnsi="Arial" w:cs="Arial"/>
          <w:szCs w:val="24"/>
        </w:rPr>
        <w:t>developing research projects to measure the success of those projects pursued</w:t>
      </w:r>
      <w:r w:rsidR="001C52FA">
        <w:rPr>
          <w:rFonts w:ascii="Arial" w:hAnsi="Arial" w:cs="Arial"/>
          <w:szCs w:val="24"/>
        </w:rPr>
        <w:t xml:space="preserve"> and that this may incur additional costs to conduct the analyses</w:t>
      </w:r>
      <w:r w:rsidR="00005581">
        <w:rPr>
          <w:rFonts w:ascii="Arial" w:hAnsi="Arial" w:cs="Arial"/>
          <w:szCs w:val="24"/>
        </w:rPr>
        <w:t>.</w:t>
      </w:r>
      <w:r w:rsidR="006918B3" w:rsidRPr="00EB3738">
        <w:rPr>
          <w:rFonts w:ascii="Arial" w:hAnsi="Arial" w:cs="Arial"/>
          <w:szCs w:val="24"/>
        </w:rPr>
        <w:t xml:space="preserve"> </w:t>
      </w:r>
      <w:r w:rsidR="00005581">
        <w:rPr>
          <w:rFonts w:ascii="Arial" w:hAnsi="Arial" w:cs="Arial"/>
          <w:szCs w:val="24"/>
        </w:rPr>
        <w:t>It was also noted that some prop</w:t>
      </w:r>
      <w:r w:rsidR="00FC187B">
        <w:rPr>
          <w:rFonts w:ascii="Arial" w:hAnsi="Arial" w:cs="Arial"/>
          <w:szCs w:val="24"/>
        </w:rPr>
        <w:t>osals requested the scheduling</w:t>
      </w:r>
      <w:r w:rsidR="00005581">
        <w:rPr>
          <w:rFonts w:ascii="Arial" w:hAnsi="Arial" w:cs="Arial"/>
          <w:szCs w:val="24"/>
        </w:rPr>
        <w:t xml:space="preserve"> of additional sections.  There was a discussion whether these requests were Resource Allocation Process or Enrollment Management </w:t>
      </w:r>
      <w:r w:rsidR="00FC187B">
        <w:rPr>
          <w:rFonts w:ascii="Arial" w:hAnsi="Arial" w:cs="Arial"/>
          <w:szCs w:val="24"/>
        </w:rPr>
        <w:t>considerations</w:t>
      </w:r>
      <w:r w:rsidR="00005581">
        <w:rPr>
          <w:rFonts w:ascii="Arial" w:hAnsi="Arial" w:cs="Arial"/>
          <w:szCs w:val="24"/>
        </w:rPr>
        <w:t>.  The Council believes there should be furt</w:t>
      </w:r>
      <w:r w:rsidR="001976FE">
        <w:rPr>
          <w:rFonts w:ascii="Arial" w:hAnsi="Arial" w:cs="Arial"/>
          <w:szCs w:val="24"/>
        </w:rPr>
        <w:t xml:space="preserve">her discussion on this question. </w:t>
      </w:r>
      <w:r w:rsidR="006918B3" w:rsidRPr="00EB3738">
        <w:rPr>
          <w:rFonts w:ascii="Arial" w:hAnsi="Arial" w:cs="Arial"/>
          <w:szCs w:val="24"/>
        </w:rPr>
        <w:t>The following summarizes the Council’s recommendations with respect to each proposal.</w:t>
      </w:r>
    </w:p>
    <w:p w:rsidR="00005581" w:rsidRDefault="00005581" w:rsidP="009828EF">
      <w:pPr>
        <w:rPr>
          <w:rFonts w:ascii="Arial" w:hAnsi="Arial" w:cs="Arial"/>
          <w:szCs w:val="24"/>
          <w:u w:val="single"/>
        </w:rPr>
      </w:pPr>
    </w:p>
    <w:p w:rsidR="00005581" w:rsidRPr="00005581" w:rsidRDefault="00005581" w:rsidP="009828EF">
      <w:pPr>
        <w:rPr>
          <w:rFonts w:ascii="Arial" w:hAnsi="Arial" w:cs="Arial"/>
          <w:b/>
          <w:szCs w:val="24"/>
        </w:rPr>
      </w:pPr>
      <w:r w:rsidRPr="00005581">
        <w:rPr>
          <w:rFonts w:ascii="Arial" w:hAnsi="Arial" w:cs="Arial"/>
          <w:b/>
          <w:szCs w:val="24"/>
        </w:rPr>
        <w:t>Band One – Recommended for Funding Consideration</w:t>
      </w:r>
    </w:p>
    <w:p w:rsidR="00005581" w:rsidRPr="00EB3738" w:rsidRDefault="00005581" w:rsidP="009828EF">
      <w:pPr>
        <w:rPr>
          <w:rFonts w:ascii="Arial" w:hAnsi="Arial" w:cs="Arial"/>
          <w:szCs w:val="24"/>
          <w:u w:val="single"/>
        </w:rPr>
      </w:pPr>
      <w:r w:rsidRPr="00EB3738">
        <w:rPr>
          <w:rFonts w:ascii="Arial" w:hAnsi="Arial" w:cs="Arial"/>
          <w:szCs w:val="24"/>
          <w:u w:val="single"/>
        </w:rPr>
        <w:t>Consolidated Biology Improvement – Biological Sciences – $4,350</w:t>
      </w:r>
    </w:p>
    <w:p w:rsidR="00005581" w:rsidRPr="00EB3738" w:rsidRDefault="00005581" w:rsidP="009828EF">
      <w:pPr>
        <w:pStyle w:val="ListParagraph"/>
        <w:numPr>
          <w:ilvl w:val="0"/>
          <w:numId w:val="35"/>
        </w:numPr>
        <w:ind w:left="810"/>
      </w:pPr>
      <w:r>
        <w:t>The Council recommends this project for funding</w:t>
      </w:r>
      <w:r w:rsidR="001976FE">
        <w:t xml:space="preserve"> consideration</w:t>
      </w:r>
      <w:r>
        <w:t>, noting that funding is requested for both one-time and ongoing funding.</w:t>
      </w:r>
    </w:p>
    <w:p w:rsidR="00005581" w:rsidRDefault="00005581" w:rsidP="009828EF">
      <w:pPr>
        <w:rPr>
          <w:rFonts w:ascii="Arial" w:hAnsi="Arial" w:cs="Arial"/>
          <w:szCs w:val="24"/>
          <w:u w:val="single"/>
        </w:rPr>
      </w:pPr>
    </w:p>
    <w:p w:rsidR="00005581" w:rsidRPr="00EB3738" w:rsidRDefault="00005581" w:rsidP="009828EF">
      <w:pPr>
        <w:rPr>
          <w:rFonts w:ascii="Arial" w:hAnsi="Arial" w:cs="Arial"/>
          <w:szCs w:val="24"/>
          <w:u w:val="single"/>
        </w:rPr>
      </w:pPr>
      <w:r w:rsidRPr="00EB3738">
        <w:rPr>
          <w:rFonts w:ascii="Arial" w:hAnsi="Arial" w:cs="Arial"/>
          <w:szCs w:val="24"/>
          <w:u w:val="single"/>
        </w:rPr>
        <w:t xml:space="preserve">Career Center Enhancement – Student Services – $6,100 </w:t>
      </w:r>
    </w:p>
    <w:p w:rsidR="00005581" w:rsidRDefault="00005581" w:rsidP="009828EF">
      <w:pPr>
        <w:pStyle w:val="ListParagraph"/>
        <w:numPr>
          <w:ilvl w:val="0"/>
          <w:numId w:val="31"/>
        </w:numPr>
      </w:pPr>
      <w:r>
        <w:t>The Council endorses this project for funding; however, it recommends that the</w:t>
      </w:r>
      <w:r w:rsidR="00FC187B">
        <w:t xml:space="preserve"> department</w:t>
      </w:r>
      <w:r>
        <w:t xml:space="preserve"> develop criteria to determine which version of each test is most appropriate for our student population and for which students the tests should be conducted for maximum impact.</w:t>
      </w:r>
    </w:p>
    <w:p w:rsidR="00005581" w:rsidRPr="00EB3738" w:rsidRDefault="00005581" w:rsidP="009828EF">
      <w:pPr>
        <w:pStyle w:val="ListParagraph"/>
        <w:numPr>
          <w:ilvl w:val="0"/>
          <w:numId w:val="31"/>
        </w:numPr>
      </w:pPr>
      <w:r>
        <w:t>It was al</w:t>
      </w:r>
      <w:r w:rsidR="00FC187B">
        <w:t>so noted that tests purchased</w:t>
      </w:r>
      <w:r>
        <w:t xml:space="preserve"> one year may not </w:t>
      </w:r>
      <w:r w:rsidR="009828EF">
        <w:t xml:space="preserve">all </w:t>
      </w:r>
      <w:r>
        <w:t>be used in that current year. The college should consider a variable annual budget based on the need to purchase additional tests.</w:t>
      </w:r>
    </w:p>
    <w:p w:rsidR="006918B3" w:rsidRPr="00EB3738" w:rsidRDefault="006918B3" w:rsidP="009828EF">
      <w:pPr>
        <w:rPr>
          <w:rFonts w:ascii="Arial" w:hAnsi="Arial" w:cs="Arial"/>
          <w:szCs w:val="24"/>
        </w:rPr>
      </w:pPr>
    </w:p>
    <w:p w:rsidR="001976FE" w:rsidRPr="00EB3738" w:rsidRDefault="001976FE" w:rsidP="009828EF">
      <w:pPr>
        <w:rPr>
          <w:rFonts w:ascii="Arial" w:hAnsi="Arial" w:cs="Arial"/>
          <w:szCs w:val="24"/>
          <w:u w:val="single"/>
        </w:rPr>
      </w:pPr>
      <w:r w:rsidRPr="00EB3738">
        <w:rPr>
          <w:rFonts w:ascii="Arial" w:hAnsi="Arial" w:cs="Arial"/>
          <w:szCs w:val="24"/>
          <w:u w:val="single"/>
        </w:rPr>
        <w:t>Staff Training – Child Development – $6,239</w:t>
      </w:r>
    </w:p>
    <w:p w:rsidR="001976FE" w:rsidRDefault="001976FE" w:rsidP="009828EF">
      <w:pPr>
        <w:pStyle w:val="ListParagraph"/>
        <w:numPr>
          <w:ilvl w:val="0"/>
          <w:numId w:val="29"/>
        </w:numPr>
      </w:pPr>
      <w:r>
        <w:t>The Council recommends this proposal for funding consideration.</w:t>
      </w:r>
    </w:p>
    <w:p w:rsidR="001976FE" w:rsidRPr="00EB3738" w:rsidRDefault="001976FE" w:rsidP="009828EF">
      <w:pPr>
        <w:pStyle w:val="ListParagraph"/>
      </w:pPr>
    </w:p>
    <w:p w:rsidR="00A72581" w:rsidRPr="00EB3738" w:rsidRDefault="00A72581" w:rsidP="009828EF">
      <w:pPr>
        <w:rPr>
          <w:rFonts w:ascii="Arial" w:hAnsi="Arial" w:cs="Arial"/>
          <w:szCs w:val="24"/>
          <w:u w:val="single"/>
        </w:rPr>
      </w:pPr>
      <w:r w:rsidRPr="00EB3738">
        <w:rPr>
          <w:rFonts w:ascii="Arial" w:hAnsi="Arial" w:cs="Arial"/>
          <w:szCs w:val="24"/>
          <w:u w:val="single"/>
        </w:rPr>
        <w:t xml:space="preserve">Content Review and Coaching – Curriculum Committee – $16,104 </w:t>
      </w:r>
    </w:p>
    <w:p w:rsidR="001C52FA" w:rsidRDefault="00A72581" w:rsidP="009828EF">
      <w:pPr>
        <w:pStyle w:val="ListParagraph"/>
        <w:numPr>
          <w:ilvl w:val="0"/>
          <w:numId w:val="30"/>
        </w:numPr>
      </w:pPr>
      <w:r>
        <w:t>The Council recommends this project for funding consideration</w:t>
      </w:r>
      <w:r w:rsidRPr="00EB3738">
        <w:t>.</w:t>
      </w:r>
      <w:r>
        <w:t xml:space="preserve"> However, it recommends that there be a discussion with the Professional Development Advisory Committee to determine how </w:t>
      </w:r>
      <w:r w:rsidR="00FC187B">
        <w:t>Professional Development</w:t>
      </w:r>
      <w:r>
        <w:t xml:space="preserve"> can supp</w:t>
      </w:r>
      <w:r w:rsidR="001C52FA">
        <w:t>ort this project.</w:t>
      </w:r>
    </w:p>
    <w:p w:rsidR="00A72581" w:rsidRPr="00EB3738" w:rsidRDefault="00FC187B" w:rsidP="009828EF">
      <w:pPr>
        <w:pStyle w:val="ListParagraph"/>
        <w:numPr>
          <w:ilvl w:val="0"/>
          <w:numId w:val="30"/>
        </w:numPr>
      </w:pPr>
      <w:r>
        <w:lastRenderedPageBreak/>
        <w:t>Additionally</w:t>
      </w:r>
      <w:r w:rsidR="00A72581">
        <w:t xml:space="preserve">, administration should determine the </w:t>
      </w:r>
      <w:r>
        <w:t xml:space="preserve">annual </w:t>
      </w:r>
      <w:r w:rsidR="00A72581">
        <w:t>funding level of this program g</w:t>
      </w:r>
      <w:r w:rsidR="00125CC9">
        <w:t>iven projected needs for content review and coaching.</w:t>
      </w:r>
    </w:p>
    <w:p w:rsidR="00A72581" w:rsidRDefault="00A72581" w:rsidP="009828EF">
      <w:pPr>
        <w:rPr>
          <w:rFonts w:ascii="Arial" w:hAnsi="Arial" w:cs="Arial"/>
          <w:szCs w:val="24"/>
        </w:rPr>
      </w:pPr>
    </w:p>
    <w:p w:rsidR="00125CC9" w:rsidRPr="00EB3738" w:rsidRDefault="00125CC9" w:rsidP="009828EF">
      <w:pPr>
        <w:rPr>
          <w:rFonts w:ascii="Arial" w:hAnsi="Arial" w:cs="Arial"/>
          <w:szCs w:val="24"/>
        </w:rPr>
      </w:pPr>
    </w:p>
    <w:p w:rsidR="001976FE" w:rsidRPr="00EB3738" w:rsidRDefault="001976FE" w:rsidP="009828EF">
      <w:pPr>
        <w:rPr>
          <w:rFonts w:ascii="Arial" w:hAnsi="Arial" w:cs="Arial"/>
          <w:szCs w:val="24"/>
          <w:u w:val="single"/>
        </w:rPr>
      </w:pPr>
      <w:r w:rsidRPr="00EB3738">
        <w:rPr>
          <w:rFonts w:ascii="Arial" w:hAnsi="Arial" w:cs="Arial"/>
          <w:szCs w:val="24"/>
          <w:u w:val="single"/>
        </w:rPr>
        <w:t>Academy for College Excellence – ACE Site Team – $14,912</w:t>
      </w:r>
    </w:p>
    <w:p w:rsidR="001976FE" w:rsidRPr="00EB3738" w:rsidRDefault="001976FE" w:rsidP="009828EF">
      <w:pPr>
        <w:pStyle w:val="ListParagraph"/>
        <w:numPr>
          <w:ilvl w:val="0"/>
          <w:numId w:val="32"/>
        </w:numPr>
      </w:pPr>
      <w:r>
        <w:t xml:space="preserve">In light of the college receiving Career Advancement Academy funds for a PTEC-ACE cohort for academic year 11-12, and that the college has now just one year’s experience with ACE cohorts, the Council recommends that the college consider the optimal number of additional ACE cohorts </w:t>
      </w:r>
      <w:r w:rsidR="003934B8">
        <w:t xml:space="preserve">to be funded from this proposal </w:t>
      </w:r>
      <w:r>
        <w:t>for academic year 11-12</w:t>
      </w:r>
      <w:r w:rsidR="00FC187B">
        <w:t xml:space="preserve"> in order that the college </w:t>
      </w:r>
      <w:r>
        <w:t>have sufficient data to assess the program’s success</w:t>
      </w:r>
      <w:r w:rsidRPr="00EB3738">
        <w:t>.</w:t>
      </w:r>
      <w:r>
        <w:t xml:space="preserve"> Assessment of student success should include </w:t>
      </w:r>
      <w:r w:rsidR="00FC187B">
        <w:t xml:space="preserve">students </w:t>
      </w:r>
      <w:r>
        <w:t xml:space="preserve">advancing through the Basic Skills program to </w:t>
      </w:r>
      <w:r w:rsidR="00073900" w:rsidRPr="00073900">
        <w:t xml:space="preserve">successful completion of </w:t>
      </w:r>
      <w:r w:rsidRPr="00073900">
        <w:t>college</w:t>
      </w:r>
      <w:r>
        <w:t xml:space="preserve"> level courses.</w:t>
      </w:r>
    </w:p>
    <w:p w:rsidR="001976FE" w:rsidRPr="00EB3738" w:rsidRDefault="001976FE" w:rsidP="009828EF">
      <w:pPr>
        <w:pStyle w:val="ListParagraph"/>
        <w:ind w:left="360"/>
      </w:pPr>
    </w:p>
    <w:p w:rsidR="00125CC9" w:rsidRPr="00005581" w:rsidRDefault="00B07EA9" w:rsidP="009828EF">
      <w:pPr>
        <w:rPr>
          <w:rFonts w:ascii="Arial" w:hAnsi="Arial" w:cs="Arial"/>
          <w:b/>
          <w:szCs w:val="24"/>
        </w:rPr>
      </w:pPr>
      <w:r>
        <w:rPr>
          <w:rFonts w:ascii="Arial" w:hAnsi="Arial" w:cs="Arial"/>
          <w:b/>
          <w:szCs w:val="24"/>
        </w:rPr>
        <w:t>Band Two</w:t>
      </w:r>
      <w:r w:rsidR="00125CC9" w:rsidRPr="00005581">
        <w:rPr>
          <w:rFonts w:ascii="Arial" w:hAnsi="Arial" w:cs="Arial"/>
          <w:b/>
          <w:szCs w:val="24"/>
        </w:rPr>
        <w:t xml:space="preserve"> – </w:t>
      </w:r>
      <w:r w:rsidR="00125CC9">
        <w:rPr>
          <w:rFonts w:ascii="Arial" w:hAnsi="Arial" w:cs="Arial"/>
          <w:b/>
          <w:szCs w:val="24"/>
        </w:rPr>
        <w:t xml:space="preserve">Not </w:t>
      </w:r>
      <w:r w:rsidR="00125CC9" w:rsidRPr="00005581">
        <w:rPr>
          <w:rFonts w:ascii="Arial" w:hAnsi="Arial" w:cs="Arial"/>
          <w:b/>
          <w:szCs w:val="24"/>
        </w:rPr>
        <w:t>Recommended for Funding Consideration</w:t>
      </w:r>
    </w:p>
    <w:p w:rsidR="00125CC9" w:rsidRPr="00EB3738" w:rsidRDefault="00125CC9" w:rsidP="009828EF">
      <w:pPr>
        <w:rPr>
          <w:rFonts w:ascii="Arial" w:hAnsi="Arial" w:cs="Arial"/>
          <w:szCs w:val="24"/>
          <w:u w:val="single"/>
        </w:rPr>
      </w:pPr>
      <w:r w:rsidRPr="00EB3738">
        <w:rPr>
          <w:rFonts w:ascii="Arial" w:hAnsi="Arial" w:cs="Arial"/>
          <w:szCs w:val="24"/>
          <w:u w:val="single"/>
        </w:rPr>
        <w:t>Math Plus / English Plus Support – Campus-wide DE – $19,340</w:t>
      </w:r>
    </w:p>
    <w:p w:rsidR="00125CC9" w:rsidRDefault="00125CC9" w:rsidP="009828EF">
      <w:pPr>
        <w:pStyle w:val="ListParagraph"/>
        <w:numPr>
          <w:ilvl w:val="0"/>
          <w:numId w:val="33"/>
        </w:numPr>
      </w:pPr>
      <w:r>
        <w:t>The Council conducted a lengthy discussion on the components of this proposal and as it currently stands, the Council does not recommend funding consideration</w:t>
      </w:r>
      <w:r w:rsidRPr="00EB3738">
        <w:t>.</w:t>
      </w:r>
    </w:p>
    <w:p w:rsidR="00125CC9" w:rsidRDefault="00125CC9" w:rsidP="009828EF">
      <w:pPr>
        <w:pStyle w:val="ListParagraph"/>
        <w:numPr>
          <w:ilvl w:val="0"/>
          <w:numId w:val="33"/>
        </w:numPr>
      </w:pPr>
      <w:r>
        <w:t>The Council recommends that the department further refine this proposal so that:</w:t>
      </w:r>
    </w:p>
    <w:p w:rsidR="00125CC9" w:rsidRDefault="00125CC9" w:rsidP="009828EF">
      <w:pPr>
        <w:pStyle w:val="ListParagraph"/>
        <w:numPr>
          <w:ilvl w:val="1"/>
          <w:numId w:val="33"/>
        </w:numPr>
      </w:pPr>
      <w:r>
        <w:t>There is better collaboration and planning with both the Counseling and Tutoring programs.</w:t>
      </w:r>
    </w:p>
    <w:p w:rsidR="00DB0AC2" w:rsidRDefault="00DB0AC2" w:rsidP="009828EF">
      <w:pPr>
        <w:pStyle w:val="ListParagraph"/>
        <w:numPr>
          <w:ilvl w:val="1"/>
          <w:numId w:val="33"/>
        </w:numPr>
      </w:pPr>
      <w:r>
        <w:t xml:space="preserve">There is evidence provided that </w:t>
      </w:r>
      <w:r w:rsidR="00FC187B">
        <w:t>scheduled</w:t>
      </w:r>
      <w:r>
        <w:t xml:space="preserve"> labs may be more effective than labs by arrangement and that in-class tutoring is effective.</w:t>
      </w:r>
    </w:p>
    <w:p w:rsidR="00125CC9" w:rsidRDefault="00125CC9" w:rsidP="009828EF">
      <w:pPr>
        <w:pStyle w:val="ListParagraph"/>
        <w:numPr>
          <w:ilvl w:val="1"/>
          <w:numId w:val="33"/>
        </w:numPr>
      </w:pPr>
      <w:r>
        <w:t xml:space="preserve">It is explored how the </w:t>
      </w:r>
      <w:r w:rsidR="002C43C3">
        <w:t>project c</w:t>
      </w:r>
      <w:r>
        <w:t xml:space="preserve">oordination </w:t>
      </w:r>
      <w:r w:rsidR="002C43C3">
        <w:t>will</w:t>
      </w:r>
      <w:r>
        <w:t xml:space="preserve"> be folded into existing DE coordination reassigned time.</w:t>
      </w:r>
    </w:p>
    <w:p w:rsidR="00125CC9" w:rsidRDefault="00125CC9" w:rsidP="009828EF">
      <w:pPr>
        <w:pStyle w:val="ListParagraph"/>
        <w:numPr>
          <w:ilvl w:val="1"/>
          <w:numId w:val="33"/>
        </w:numPr>
      </w:pPr>
      <w:r>
        <w:t>Existing LMC research data is analyzed to demonstrate that similar progr</w:t>
      </w:r>
      <w:r w:rsidR="00DB0AC2">
        <w:t>ams have been successful at LMC to support an LMC model of this kind.</w:t>
      </w:r>
    </w:p>
    <w:p w:rsidR="00125CC9" w:rsidRPr="00EB3738" w:rsidRDefault="00125CC9" w:rsidP="009828EF">
      <w:pPr>
        <w:pStyle w:val="ListParagraph"/>
        <w:ind w:left="1440"/>
      </w:pPr>
    </w:p>
    <w:p w:rsidR="00DB0AC2" w:rsidRPr="00EB3738" w:rsidRDefault="00DB0AC2" w:rsidP="009828EF">
      <w:pPr>
        <w:rPr>
          <w:rFonts w:ascii="Arial" w:hAnsi="Arial" w:cs="Arial"/>
          <w:szCs w:val="24"/>
          <w:u w:val="single"/>
        </w:rPr>
      </w:pPr>
      <w:r w:rsidRPr="00EB3738">
        <w:rPr>
          <w:rFonts w:ascii="Arial" w:hAnsi="Arial" w:cs="Arial"/>
          <w:szCs w:val="24"/>
          <w:u w:val="single"/>
        </w:rPr>
        <w:t>Math Path – Math DE – $17,279</w:t>
      </w:r>
    </w:p>
    <w:p w:rsidR="00DB0AC2" w:rsidRPr="00EB3738" w:rsidRDefault="00DB0AC2" w:rsidP="009828EF">
      <w:pPr>
        <w:pStyle w:val="ListParagraph"/>
        <w:numPr>
          <w:ilvl w:val="0"/>
          <w:numId w:val="33"/>
        </w:numPr>
      </w:pPr>
      <w:r>
        <w:t>In light of the East Bay Community Foundation funding one cohort in both fall 2011 and spring 2012, the Council recommends not funding additional cohorts. Rather, the Council recommends that research be conducted on the planned cohorts to determine their impact on student success before the college further invests in this project.</w:t>
      </w:r>
    </w:p>
    <w:p w:rsidR="00EB3738" w:rsidRPr="00EB3738" w:rsidRDefault="00EB3738" w:rsidP="009828EF">
      <w:pPr>
        <w:rPr>
          <w:rFonts w:ascii="Arial" w:hAnsi="Arial" w:cs="Arial"/>
          <w:szCs w:val="24"/>
        </w:rPr>
      </w:pPr>
    </w:p>
    <w:p w:rsidR="00EB3738" w:rsidRPr="00EB3738" w:rsidRDefault="00EB3738" w:rsidP="009828EF">
      <w:pPr>
        <w:rPr>
          <w:rFonts w:ascii="Arial" w:hAnsi="Arial" w:cs="Arial"/>
          <w:szCs w:val="24"/>
          <w:u w:val="single"/>
        </w:rPr>
      </w:pPr>
      <w:r w:rsidRPr="00EB3738">
        <w:rPr>
          <w:rFonts w:ascii="Arial" w:hAnsi="Arial" w:cs="Arial"/>
          <w:szCs w:val="24"/>
          <w:u w:val="single"/>
        </w:rPr>
        <w:t>Professional Development for Acceleration – Math DE – $13,827</w:t>
      </w:r>
    </w:p>
    <w:p w:rsidR="00314B0B" w:rsidRDefault="00314B0B" w:rsidP="009828EF">
      <w:pPr>
        <w:numPr>
          <w:ilvl w:val="0"/>
          <w:numId w:val="33"/>
        </w:numPr>
        <w:snapToGrid w:val="0"/>
        <w:rPr>
          <w:rFonts w:ascii="Arial" w:hAnsi="Arial" w:cs="Arial"/>
          <w:szCs w:val="24"/>
        </w:rPr>
      </w:pPr>
      <w:r>
        <w:rPr>
          <w:rFonts w:ascii="Arial" w:hAnsi="Arial" w:cs="Arial"/>
          <w:szCs w:val="24"/>
        </w:rPr>
        <w:t>The Council suggests that the $5,000 provided by the East Bay Community Foundation along with Flex activities are sufficient funding for adjunct training for the MathPath and  StatPath programs.</w:t>
      </w:r>
    </w:p>
    <w:p w:rsidR="00B07EA9" w:rsidRPr="00EB3738" w:rsidRDefault="00B07EA9" w:rsidP="009828EF">
      <w:pPr>
        <w:numPr>
          <w:ilvl w:val="0"/>
          <w:numId w:val="33"/>
        </w:numPr>
        <w:rPr>
          <w:rFonts w:ascii="Arial" w:hAnsi="Arial" w:cs="Arial"/>
          <w:szCs w:val="24"/>
        </w:rPr>
      </w:pPr>
      <w:r>
        <w:rPr>
          <w:rFonts w:ascii="Arial" w:hAnsi="Arial" w:cs="Arial"/>
          <w:szCs w:val="24"/>
        </w:rPr>
        <w:t xml:space="preserve">If any coordination time is required for </w:t>
      </w:r>
      <w:r w:rsidR="00FC187B">
        <w:rPr>
          <w:rFonts w:ascii="Arial" w:hAnsi="Arial" w:cs="Arial"/>
          <w:szCs w:val="24"/>
        </w:rPr>
        <w:t>this project</w:t>
      </w:r>
      <w:r>
        <w:rPr>
          <w:rFonts w:ascii="Arial" w:hAnsi="Arial" w:cs="Arial"/>
          <w:szCs w:val="24"/>
        </w:rPr>
        <w:t>, the existing  DE coordination reassigned time should be provided for this role.</w:t>
      </w:r>
    </w:p>
    <w:p w:rsidR="00EB3738" w:rsidRPr="00EB3738" w:rsidRDefault="00EB3738" w:rsidP="009828EF">
      <w:pPr>
        <w:rPr>
          <w:rFonts w:ascii="Arial" w:hAnsi="Arial" w:cs="Arial"/>
          <w:szCs w:val="24"/>
        </w:rPr>
      </w:pPr>
    </w:p>
    <w:p w:rsidR="007948A8" w:rsidRPr="00EB3738" w:rsidRDefault="007948A8" w:rsidP="009828EF">
      <w:pPr>
        <w:rPr>
          <w:rFonts w:ascii="Arial" w:hAnsi="Arial" w:cs="Arial"/>
          <w:szCs w:val="24"/>
        </w:rPr>
      </w:pPr>
    </w:p>
    <w:p w:rsidR="009258BA" w:rsidRPr="00EB3738" w:rsidRDefault="009258BA" w:rsidP="009828EF">
      <w:pPr>
        <w:pStyle w:val="Heading1"/>
        <w:jc w:val="left"/>
        <w:rPr>
          <w:rFonts w:cs="Arial"/>
          <w:szCs w:val="24"/>
        </w:rPr>
      </w:pPr>
      <w:r w:rsidRPr="00EB3738">
        <w:rPr>
          <w:rFonts w:cs="Arial"/>
          <w:szCs w:val="24"/>
        </w:rPr>
        <w:t>Classified Staffing Proposals</w:t>
      </w:r>
    </w:p>
    <w:p w:rsidR="00336783" w:rsidRPr="00EB3738" w:rsidRDefault="00EB3738" w:rsidP="009828EF">
      <w:pPr>
        <w:rPr>
          <w:rFonts w:ascii="Arial" w:hAnsi="Arial" w:cs="Arial"/>
          <w:szCs w:val="24"/>
        </w:rPr>
      </w:pPr>
      <w:r>
        <w:rPr>
          <w:rFonts w:ascii="Arial" w:hAnsi="Arial" w:cs="Arial"/>
          <w:szCs w:val="24"/>
        </w:rPr>
        <w:t>The Council considered four</w:t>
      </w:r>
      <w:r w:rsidR="00701955" w:rsidRPr="00EB3738">
        <w:rPr>
          <w:rFonts w:ascii="Arial" w:hAnsi="Arial" w:cs="Arial"/>
          <w:szCs w:val="24"/>
        </w:rPr>
        <w:t xml:space="preserve"> Classified Staffing p</w:t>
      </w:r>
      <w:r w:rsidR="00336783" w:rsidRPr="00EB3738">
        <w:rPr>
          <w:rFonts w:ascii="Arial" w:hAnsi="Arial" w:cs="Arial"/>
          <w:szCs w:val="24"/>
        </w:rPr>
        <w:t xml:space="preserve">roposals totaling </w:t>
      </w:r>
      <w:r>
        <w:rPr>
          <w:rFonts w:ascii="Arial" w:hAnsi="Arial" w:cs="Arial"/>
          <w:szCs w:val="24"/>
        </w:rPr>
        <w:t>approximately 2.75</w:t>
      </w:r>
      <w:r w:rsidR="00336783" w:rsidRPr="00EB3738">
        <w:rPr>
          <w:rFonts w:ascii="Arial" w:hAnsi="Arial" w:cs="Arial"/>
          <w:szCs w:val="24"/>
        </w:rPr>
        <w:t xml:space="preserve"> FTE.  </w:t>
      </w:r>
      <w:r w:rsidR="00B07EA9">
        <w:rPr>
          <w:rFonts w:ascii="Arial" w:hAnsi="Arial" w:cs="Arial"/>
          <w:szCs w:val="24"/>
        </w:rPr>
        <w:t xml:space="preserve">The Council acknowledges these are very challenging budgetary times and that the college must make difficult staffing decisions to balance the 2011-2012 fiscal year budget. </w:t>
      </w:r>
      <w:r w:rsidR="00336783" w:rsidRPr="00EB3738">
        <w:rPr>
          <w:rFonts w:ascii="Arial" w:hAnsi="Arial" w:cs="Arial"/>
          <w:szCs w:val="24"/>
        </w:rPr>
        <w:t>The following recommendation</w:t>
      </w:r>
      <w:r w:rsidR="00B07EA9">
        <w:rPr>
          <w:rFonts w:ascii="Arial" w:hAnsi="Arial" w:cs="Arial"/>
          <w:szCs w:val="24"/>
        </w:rPr>
        <w:t>s reflect an assessment of college priorities in terms of these four positions only.</w:t>
      </w:r>
    </w:p>
    <w:p w:rsidR="00B07EA9" w:rsidRDefault="00B07EA9" w:rsidP="009828EF">
      <w:pPr>
        <w:rPr>
          <w:rFonts w:ascii="Arial" w:hAnsi="Arial" w:cs="Arial"/>
          <w:b/>
          <w:szCs w:val="24"/>
        </w:rPr>
      </w:pPr>
    </w:p>
    <w:p w:rsidR="00B07EA9" w:rsidRPr="00005581" w:rsidRDefault="00B07EA9" w:rsidP="009828EF">
      <w:pPr>
        <w:rPr>
          <w:rFonts w:ascii="Arial" w:hAnsi="Arial" w:cs="Arial"/>
          <w:b/>
          <w:szCs w:val="24"/>
        </w:rPr>
      </w:pPr>
      <w:r w:rsidRPr="00005581">
        <w:rPr>
          <w:rFonts w:ascii="Arial" w:hAnsi="Arial" w:cs="Arial"/>
          <w:b/>
          <w:szCs w:val="24"/>
        </w:rPr>
        <w:t>Band One – Recommended for Funding Consideration</w:t>
      </w:r>
    </w:p>
    <w:p w:rsidR="00B07EA9" w:rsidRPr="00EB3738" w:rsidRDefault="00B07EA9" w:rsidP="009828EF">
      <w:pPr>
        <w:rPr>
          <w:rFonts w:ascii="Arial" w:hAnsi="Arial" w:cs="Arial"/>
          <w:szCs w:val="24"/>
          <w:u w:val="single"/>
        </w:rPr>
      </w:pPr>
      <w:r w:rsidRPr="00EB3738">
        <w:rPr>
          <w:rFonts w:ascii="Arial" w:hAnsi="Arial" w:cs="Arial"/>
          <w:szCs w:val="24"/>
          <w:u w:val="single"/>
        </w:rPr>
        <w:lastRenderedPageBreak/>
        <w:t>Theater Staging Specialist – Drama – 1.00 FTE</w:t>
      </w:r>
    </w:p>
    <w:p w:rsidR="00B07EA9" w:rsidRPr="00EB3738" w:rsidRDefault="00B07EA9" w:rsidP="009828EF">
      <w:pPr>
        <w:pStyle w:val="ListParagraph"/>
        <w:numPr>
          <w:ilvl w:val="0"/>
          <w:numId w:val="36"/>
        </w:numPr>
      </w:pPr>
      <w:r>
        <w:t>The Council recommends funding consideration for a .50 FTE position</w:t>
      </w:r>
      <w:r w:rsidRPr="00EB3738">
        <w:t>.</w:t>
      </w:r>
    </w:p>
    <w:p w:rsidR="009258BA" w:rsidRPr="00EB3738" w:rsidRDefault="009258BA" w:rsidP="009828EF">
      <w:pPr>
        <w:rPr>
          <w:rFonts w:ascii="Arial" w:hAnsi="Arial" w:cs="Arial"/>
          <w:szCs w:val="24"/>
        </w:rPr>
      </w:pPr>
    </w:p>
    <w:p w:rsidR="00B07EA9" w:rsidRDefault="00B07EA9" w:rsidP="009828EF">
      <w:pPr>
        <w:rPr>
          <w:rFonts w:ascii="Arial" w:hAnsi="Arial" w:cs="Arial"/>
          <w:szCs w:val="24"/>
          <w:u w:val="single"/>
        </w:rPr>
      </w:pPr>
    </w:p>
    <w:p w:rsidR="00B07EA9" w:rsidRDefault="00B07EA9" w:rsidP="009828EF">
      <w:pPr>
        <w:rPr>
          <w:rFonts w:ascii="Arial" w:hAnsi="Arial" w:cs="Arial"/>
          <w:szCs w:val="24"/>
          <w:u w:val="single"/>
        </w:rPr>
      </w:pPr>
    </w:p>
    <w:p w:rsidR="00EB3738" w:rsidRPr="00EB3738" w:rsidRDefault="00EB3738" w:rsidP="009828EF">
      <w:pPr>
        <w:rPr>
          <w:rFonts w:ascii="Arial" w:hAnsi="Arial" w:cs="Arial"/>
          <w:szCs w:val="24"/>
          <w:u w:val="single"/>
        </w:rPr>
      </w:pPr>
      <w:r w:rsidRPr="00EB3738">
        <w:rPr>
          <w:rFonts w:ascii="Arial" w:hAnsi="Arial" w:cs="Arial"/>
          <w:szCs w:val="24"/>
          <w:u w:val="single"/>
        </w:rPr>
        <w:t xml:space="preserve">College Human Resources Assistant – Business Services – </w:t>
      </w:r>
      <w:r w:rsidR="00B07EA9">
        <w:rPr>
          <w:rFonts w:ascii="Arial" w:hAnsi="Arial" w:cs="Arial"/>
          <w:szCs w:val="24"/>
          <w:u w:val="single"/>
        </w:rPr>
        <w:t>.</w:t>
      </w:r>
      <w:r w:rsidRPr="00EB3738">
        <w:rPr>
          <w:rFonts w:ascii="Arial" w:hAnsi="Arial" w:cs="Arial"/>
          <w:szCs w:val="24"/>
          <w:u w:val="single"/>
        </w:rPr>
        <w:t>25 FTE</w:t>
      </w:r>
    </w:p>
    <w:p w:rsidR="00EB3738" w:rsidRPr="00EB3738" w:rsidRDefault="00B07EA9" w:rsidP="009828EF">
      <w:pPr>
        <w:pStyle w:val="ListParagraph"/>
        <w:numPr>
          <w:ilvl w:val="0"/>
          <w:numId w:val="36"/>
        </w:numPr>
      </w:pPr>
      <w:r>
        <w:t>The Council recommends funding consideration for the .25 FTE augmentation to the existing position.</w:t>
      </w:r>
    </w:p>
    <w:p w:rsidR="00EB3738" w:rsidRPr="00EB3738" w:rsidRDefault="00EB3738" w:rsidP="009828EF">
      <w:pPr>
        <w:rPr>
          <w:rFonts w:ascii="Arial" w:hAnsi="Arial" w:cs="Arial"/>
          <w:szCs w:val="24"/>
        </w:rPr>
      </w:pPr>
    </w:p>
    <w:p w:rsidR="00B07EA9" w:rsidRPr="00005581" w:rsidRDefault="00B07EA9" w:rsidP="009828EF">
      <w:pPr>
        <w:rPr>
          <w:rFonts w:ascii="Arial" w:hAnsi="Arial" w:cs="Arial"/>
          <w:b/>
          <w:szCs w:val="24"/>
        </w:rPr>
      </w:pPr>
      <w:r>
        <w:rPr>
          <w:rFonts w:ascii="Arial" w:hAnsi="Arial" w:cs="Arial"/>
          <w:b/>
          <w:szCs w:val="24"/>
        </w:rPr>
        <w:t>Band Two</w:t>
      </w:r>
      <w:r w:rsidRPr="00005581">
        <w:rPr>
          <w:rFonts w:ascii="Arial" w:hAnsi="Arial" w:cs="Arial"/>
          <w:b/>
          <w:szCs w:val="24"/>
        </w:rPr>
        <w:t xml:space="preserve"> – </w:t>
      </w:r>
      <w:r>
        <w:rPr>
          <w:rFonts w:ascii="Arial" w:hAnsi="Arial" w:cs="Arial"/>
          <w:b/>
          <w:szCs w:val="24"/>
        </w:rPr>
        <w:t xml:space="preserve">Not </w:t>
      </w:r>
      <w:r w:rsidRPr="00005581">
        <w:rPr>
          <w:rFonts w:ascii="Arial" w:hAnsi="Arial" w:cs="Arial"/>
          <w:b/>
          <w:szCs w:val="24"/>
        </w:rPr>
        <w:t>Recommended for Funding Consideration</w:t>
      </w:r>
    </w:p>
    <w:p w:rsidR="00EB3738" w:rsidRPr="00EB3738" w:rsidRDefault="00EB3738" w:rsidP="009828EF">
      <w:pPr>
        <w:rPr>
          <w:rFonts w:ascii="Arial" w:hAnsi="Arial" w:cs="Arial"/>
          <w:szCs w:val="24"/>
          <w:u w:val="single"/>
        </w:rPr>
      </w:pPr>
      <w:r w:rsidRPr="00EB3738">
        <w:rPr>
          <w:rFonts w:ascii="Arial" w:hAnsi="Arial" w:cs="Arial"/>
          <w:szCs w:val="24"/>
          <w:u w:val="single"/>
        </w:rPr>
        <w:t>Science Lab Technician II – Physical Sciences – 1. 00 FTE</w:t>
      </w:r>
    </w:p>
    <w:p w:rsidR="00EB3738" w:rsidRPr="00EB3738" w:rsidRDefault="009B1E1B" w:rsidP="009828EF">
      <w:pPr>
        <w:pStyle w:val="ListParagraph"/>
        <w:numPr>
          <w:ilvl w:val="0"/>
          <w:numId w:val="37"/>
        </w:numPr>
      </w:pPr>
      <w:r>
        <w:t>The Council does not recommend funding of this position. Rather, the Council recommends that the Physical Sciences department further investigate how the existing two Classified positions can serve the high priority needs in the Astronomy program.</w:t>
      </w:r>
    </w:p>
    <w:p w:rsidR="002039E6" w:rsidRPr="00EB3738" w:rsidRDefault="002039E6" w:rsidP="009828EF">
      <w:pPr>
        <w:tabs>
          <w:tab w:val="right" w:pos="2970"/>
          <w:tab w:val="left" w:pos="3420"/>
        </w:tabs>
        <w:rPr>
          <w:rFonts w:ascii="Arial" w:hAnsi="Arial" w:cs="Arial"/>
          <w:szCs w:val="24"/>
        </w:rPr>
      </w:pPr>
    </w:p>
    <w:p w:rsidR="009B1E1B" w:rsidRPr="00EB3738" w:rsidRDefault="009B1E1B" w:rsidP="009828EF">
      <w:pPr>
        <w:rPr>
          <w:rFonts w:ascii="Arial" w:hAnsi="Arial" w:cs="Arial"/>
          <w:szCs w:val="24"/>
          <w:u w:val="single"/>
        </w:rPr>
      </w:pPr>
      <w:r w:rsidRPr="00EB3738">
        <w:rPr>
          <w:rFonts w:ascii="Arial" w:hAnsi="Arial" w:cs="Arial"/>
          <w:szCs w:val="24"/>
          <w:u w:val="single"/>
        </w:rPr>
        <w:t>Parking Services Office – Brentwood Center – .50 FTE</w:t>
      </w:r>
    </w:p>
    <w:p w:rsidR="002039E6" w:rsidRPr="00127058" w:rsidRDefault="00127058" w:rsidP="009828EF">
      <w:pPr>
        <w:numPr>
          <w:ilvl w:val="0"/>
          <w:numId w:val="37"/>
        </w:numPr>
        <w:rPr>
          <w:rFonts w:ascii="Arial" w:eastAsia="Calibri" w:hAnsi="Arial" w:cs="Arial"/>
          <w:snapToGrid/>
          <w:szCs w:val="24"/>
          <w:lang w:bidi="en-US"/>
        </w:rPr>
      </w:pPr>
      <w:r w:rsidRPr="00127058">
        <w:rPr>
          <w:rFonts w:ascii="Arial" w:eastAsia="Calibri" w:hAnsi="Arial" w:cs="Arial"/>
          <w:snapToGrid/>
          <w:szCs w:val="24"/>
          <w:lang w:bidi="en-US"/>
        </w:rPr>
        <w:t>The Council does not recommend funding of this position.</w:t>
      </w:r>
      <w:r>
        <w:rPr>
          <w:rFonts w:ascii="Arial" w:eastAsia="Calibri" w:hAnsi="Arial" w:cs="Arial"/>
          <w:snapToGrid/>
          <w:szCs w:val="24"/>
          <w:lang w:bidi="en-US"/>
        </w:rPr>
        <w:t xml:space="preserve"> The Council does recommend that the Brentwood Center better communicate the availability of this evening security service to its staff who work in the evenings.</w:t>
      </w:r>
    </w:p>
    <w:p w:rsidR="002039E6" w:rsidRPr="00127058" w:rsidRDefault="002039E6" w:rsidP="009828EF">
      <w:pPr>
        <w:tabs>
          <w:tab w:val="right" w:pos="2970"/>
          <w:tab w:val="left" w:pos="3420"/>
        </w:tabs>
        <w:rPr>
          <w:rFonts w:ascii="Arial" w:eastAsia="Calibri" w:hAnsi="Arial" w:cs="Arial"/>
          <w:snapToGrid/>
          <w:szCs w:val="24"/>
          <w:lang w:bidi="en-US"/>
        </w:rPr>
      </w:pPr>
    </w:p>
    <w:p w:rsidR="002039E6" w:rsidRPr="00127058" w:rsidRDefault="002039E6" w:rsidP="009828EF">
      <w:pPr>
        <w:tabs>
          <w:tab w:val="right" w:pos="2970"/>
          <w:tab w:val="left" w:pos="3420"/>
        </w:tabs>
        <w:rPr>
          <w:rFonts w:ascii="Arial" w:eastAsia="Calibri" w:hAnsi="Arial" w:cs="Arial"/>
          <w:snapToGrid/>
          <w:szCs w:val="24"/>
          <w:lang w:bidi="en-US"/>
        </w:rPr>
      </w:pPr>
    </w:p>
    <w:p w:rsidR="002039E6" w:rsidRPr="00127058" w:rsidRDefault="002039E6" w:rsidP="00616340">
      <w:pPr>
        <w:tabs>
          <w:tab w:val="right" w:pos="2970"/>
          <w:tab w:val="left" w:pos="3420"/>
        </w:tabs>
        <w:jc w:val="both"/>
        <w:rPr>
          <w:rFonts w:ascii="Arial" w:eastAsia="Calibri" w:hAnsi="Arial" w:cs="Arial"/>
          <w:snapToGrid/>
          <w:szCs w:val="24"/>
          <w:lang w:bidi="en-US"/>
        </w:rPr>
      </w:pPr>
    </w:p>
    <w:p w:rsidR="002039E6" w:rsidRPr="00127058" w:rsidRDefault="002039E6" w:rsidP="00616340">
      <w:pPr>
        <w:tabs>
          <w:tab w:val="right" w:pos="2970"/>
          <w:tab w:val="left" w:pos="3420"/>
        </w:tabs>
        <w:jc w:val="both"/>
        <w:rPr>
          <w:rFonts w:ascii="Arial" w:eastAsia="Calibri" w:hAnsi="Arial" w:cs="Arial"/>
          <w:snapToGrid/>
          <w:szCs w:val="24"/>
          <w:lang w:bidi="en-US"/>
        </w:rPr>
      </w:pPr>
    </w:p>
    <w:p w:rsidR="002039E6" w:rsidRDefault="002039E6" w:rsidP="00616340">
      <w:pPr>
        <w:tabs>
          <w:tab w:val="right" w:pos="2970"/>
          <w:tab w:val="left" w:pos="3420"/>
        </w:tabs>
        <w:jc w:val="both"/>
        <w:rPr>
          <w:rFonts w:ascii="Arial" w:hAnsi="Arial"/>
          <w:szCs w:val="24"/>
        </w:rPr>
      </w:pPr>
    </w:p>
    <w:p w:rsidR="002039E6" w:rsidRDefault="002039E6" w:rsidP="00616340">
      <w:pPr>
        <w:tabs>
          <w:tab w:val="right" w:pos="2970"/>
          <w:tab w:val="left" w:pos="3420"/>
        </w:tabs>
        <w:jc w:val="both"/>
        <w:rPr>
          <w:rFonts w:ascii="Arial" w:hAnsi="Arial"/>
          <w:szCs w:val="24"/>
        </w:rPr>
      </w:pPr>
    </w:p>
    <w:p w:rsidR="00A53C63" w:rsidRDefault="00D8071A">
      <w:pPr>
        <w:jc w:val="both"/>
        <w:rPr>
          <w:rFonts w:ascii="Arial" w:hAnsi="Arial"/>
          <w:sz w:val="20"/>
        </w:rPr>
      </w:pPr>
      <w:r>
        <w:rPr>
          <w:rFonts w:ascii="Arial" w:hAnsi="Arial"/>
          <w:sz w:val="20"/>
        </w:rPr>
        <w:t>/</w:t>
      </w:r>
      <w:r w:rsidR="00DE2FC4">
        <w:rPr>
          <w:rFonts w:ascii="Arial" w:hAnsi="Arial"/>
          <w:sz w:val="20"/>
        </w:rPr>
        <w:t>RAP Reco to Pres 10-11 3-2</w:t>
      </w:r>
      <w:r w:rsidR="00593EFD">
        <w:rPr>
          <w:rFonts w:ascii="Arial" w:hAnsi="Arial"/>
          <w:sz w:val="20"/>
        </w:rPr>
        <w:t>8</w:t>
      </w:r>
      <w:r w:rsidR="00DE2FC4">
        <w:rPr>
          <w:rFonts w:ascii="Arial" w:hAnsi="Arial"/>
          <w:sz w:val="20"/>
        </w:rPr>
        <w:t>-11</w:t>
      </w:r>
    </w:p>
    <w:sectPr w:rsidR="00A53C63" w:rsidSect="00A72581">
      <w:endnotePr>
        <w:numFmt w:val="decimal"/>
      </w:endnotePr>
      <w:pgSz w:w="12240" w:h="15840"/>
      <w:pgMar w:top="1080" w:right="1080" w:bottom="1080" w:left="1080" w:header="72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A5A"/>
    <w:multiLevelType w:val="hybridMultilevel"/>
    <w:tmpl w:val="37D8E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A4CF9"/>
    <w:multiLevelType w:val="hybridMultilevel"/>
    <w:tmpl w:val="DB28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838C3"/>
    <w:multiLevelType w:val="singleLevel"/>
    <w:tmpl w:val="AE3230DE"/>
    <w:lvl w:ilvl="0">
      <w:start w:val="6000"/>
      <w:numFmt w:val="decimal"/>
      <w:lvlText w:val="%1"/>
      <w:lvlJc w:val="left"/>
      <w:pPr>
        <w:tabs>
          <w:tab w:val="num" w:pos="2880"/>
        </w:tabs>
        <w:ind w:left="2880" w:hanging="1440"/>
      </w:pPr>
      <w:rPr>
        <w:rFonts w:hint="default"/>
      </w:rPr>
    </w:lvl>
  </w:abstractNum>
  <w:abstractNum w:abstractNumId="3">
    <w:nsid w:val="09EB3BD3"/>
    <w:multiLevelType w:val="hybridMultilevel"/>
    <w:tmpl w:val="8006C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85AC0"/>
    <w:multiLevelType w:val="hybridMultilevel"/>
    <w:tmpl w:val="897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07B1B"/>
    <w:multiLevelType w:val="hybridMultilevel"/>
    <w:tmpl w:val="3DBC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91361"/>
    <w:multiLevelType w:val="hybridMultilevel"/>
    <w:tmpl w:val="45E61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B36115"/>
    <w:multiLevelType w:val="hybridMultilevel"/>
    <w:tmpl w:val="16A66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265217"/>
    <w:multiLevelType w:val="hybridMultilevel"/>
    <w:tmpl w:val="77A80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157727"/>
    <w:multiLevelType w:val="hybridMultilevel"/>
    <w:tmpl w:val="3F72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C5A5A"/>
    <w:multiLevelType w:val="hybridMultilevel"/>
    <w:tmpl w:val="DB9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136EB2"/>
    <w:multiLevelType w:val="hybridMultilevel"/>
    <w:tmpl w:val="FC32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94455"/>
    <w:multiLevelType w:val="hybridMultilevel"/>
    <w:tmpl w:val="7BA83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BF0BB5"/>
    <w:multiLevelType w:val="hybridMultilevel"/>
    <w:tmpl w:val="92F07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1041C4"/>
    <w:multiLevelType w:val="hybridMultilevel"/>
    <w:tmpl w:val="816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CA2835"/>
    <w:multiLevelType w:val="hybridMultilevel"/>
    <w:tmpl w:val="69101F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97C26E8"/>
    <w:multiLevelType w:val="hybridMultilevel"/>
    <w:tmpl w:val="270A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90EA0"/>
    <w:multiLevelType w:val="singleLevel"/>
    <w:tmpl w:val="0409000F"/>
    <w:lvl w:ilvl="0">
      <w:start w:val="1"/>
      <w:numFmt w:val="decimal"/>
      <w:lvlText w:val="%1."/>
      <w:lvlJc w:val="left"/>
      <w:pPr>
        <w:tabs>
          <w:tab w:val="num" w:pos="360"/>
        </w:tabs>
        <w:ind w:left="360" w:hanging="360"/>
      </w:pPr>
    </w:lvl>
  </w:abstractNum>
  <w:abstractNum w:abstractNumId="18">
    <w:nsid w:val="30073D10"/>
    <w:multiLevelType w:val="hybridMultilevel"/>
    <w:tmpl w:val="9D5C48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FE1FF8"/>
    <w:multiLevelType w:val="hybridMultilevel"/>
    <w:tmpl w:val="3CBE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6F49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72E0C92"/>
    <w:multiLevelType w:val="hybridMultilevel"/>
    <w:tmpl w:val="C386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391843"/>
    <w:multiLevelType w:val="hybridMultilevel"/>
    <w:tmpl w:val="D6EA5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5D79B2"/>
    <w:multiLevelType w:val="hybridMultilevel"/>
    <w:tmpl w:val="D10E85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CF05AE1"/>
    <w:multiLevelType w:val="hybridMultilevel"/>
    <w:tmpl w:val="74B00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4058A5"/>
    <w:multiLevelType w:val="hybridMultilevel"/>
    <w:tmpl w:val="0E0E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7E79AA"/>
    <w:multiLevelType w:val="hybridMultilevel"/>
    <w:tmpl w:val="9F726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9155A3"/>
    <w:multiLevelType w:val="hybridMultilevel"/>
    <w:tmpl w:val="2C4E1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770079"/>
    <w:multiLevelType w:val="hybridMultilevel"/>
    <w:tmpl w:val="15F01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99119D"/>
    <w:multiLevelType w:val="hybridMultilevel"/>
    <w:tmpl w:val="E9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511B2E"/>
    <w:multiLevelType w:val="hybridMultilevel"/>
    <w:tmpl w:val="B3344F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2632A5"/>
    <w:multiLevelType w:val="hybridMultilevel"/>
    <w:tmpl w:val="2252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817DCE"/>
    <w:multiLevelType w:val="hybridMultilevel"/>
    <w:tmpl w:val="3CA6F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381AC2"/>
    <w:multiLevelType w:val="hybridMultilevel"/>
    <w:tmpl w:val="8F985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5E380D"/>
    <w:multiLevelType w:val="hybridMultilevel"/>
    <w:tmpl w:val="25325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9F63828"/>
    <w:multiLevelType w:val="hybridMultilevel"/>
    <w:tmpl w:val="4E6AC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B51585"/>
    <w:multiLevelType w:val="hybridMultilevel"/>
    <w:tmpl w:val="A8E6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23"/>
  </w:num>
  <w:num w:numId="5">
    <w:abstractNumId w:val="15"/>
  </w:num>
  <w:num w:numId="6">
    <w:abstractNumId w:val="13"/>
  </w:num>
  <w:num w:numId="7">
    <w:abstractNumId w:val="3"/>
  </w:num>
  <w:num w:numId="8">
    <w:abstractNumId w:val="6"/>
  </w:num>
  <w:num w:numId="9">
    <w:abstractNumId w:val="0"/>
  </w:num>
  <w:num w:numId="10">
    <w:abstractNumId w:val="8"/>
  </w:num>
  <w:num w:numId="11">
    <w:abstractNumId w:val="9"/>
  </w:num>
  <w:num w:numId="12">
    <w:abstractNumId w:val="27"/>
  </w:num>
  <w:num w:numId="13">
    <w:abstractNumId w:val="32"/>
  </w:num>
  <w:num w:numId="14">
    <w:abstractNumId w:val="22"/>
  </w:num>
  <w:num w:numId="15">
    <w:abstractNumId w:val="25"/>
  </w:num>
  <w:num w:numId="16">
    <w:abstractNumId w:val="33"/>
  </w:num>
  <w:num w:numId="17">
    <w:abstractNumId w:val="28"/>
  </w:num>
  <w:num w:numId="18">
    <w:abstractNumId w:val="35"/>
  </w:num>
  <w:num w:numId="19">
    <w:abstractNumId w:val="29"/>
  </w:num>
  <w:num w:numId="20">
    <w:abstractNumId w:val="7"/>
  </w:num>
  <w:num w:numId="21">
    <w:abstractNumId w:val="18"/>
  </w:num>
  <w:num w:numId="22">
    <w:abstractNumId w:val="19"/>
  </w:num>
  <w:num w:numId="23">
    <w:abstractNumId w:val="24"/>
  </w:num>
  <w:num w:numId="24">
    <w:abstractNumId w:val="30"/>
  </w:num>
  <w:num w:numId="25">
    <w:abstractNumId w:val="11"/>
  </w:num>
  <w:num w:numId="26">
    <w:abstractNumId w:val="12"/>
  </w:num>
  <w:num w:numId="27">
    <w:abstractNumId w:val="26"/>
  </w:num>
  <w:num w:numId="28">
    <w:abstractNumId w:val="31"/>
  </w:num>
  <w:num w:numId="29">
    <w:abstractNumId w:val="36"/>
  </w:num>
  <w:num w:numId="30">
    <w:abstractNumId w:val="10"/>
  </w:num>
  <w:num w:numId="31">
    <w:abstractNumId w:val="5"/>
  </w:num>
  <w:num w:numId="32">
    <w:abstractNumId w:val="21"/>
  </w:num>
  <w:num w:numId="33">
    <w:abstractNumId w:val="1"/>
  </w:num>
  <w:num w:numId="34">
    <w:abstractNumId w:val="4"/>
  </w:num>
  <w:num w:numId="35">
    <w:abstractNumId w:val="34"/>
  </w:num>
  <w:num w:numId="36">
    <w:abstractNumId w:val="16"/>
  </w:num>
  <w:num w:numId="37">
    <w:abstractNumId w:val="14"/>
  </w:num>
  <w:num w:numId="3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rsids>
    <w:rsidRoot w:val="00E04576"/>
    <w:rsid w:val="00002A3C"/>
    <w:rsid w:val="00005581"/>
    <w:rsid w:val="00017ED3"/>
    <w:rsid w:val="00073900"/>
    <w:rsid w:val="000D71DF"/>
    <w:rsid w:val="00102DBC"/>
    <w:rsid w:val="001068FE"/>
    <w:rsid w:val="0011764B"/>
    <w:rsid w:val="00125CC9"/>
    <w:rsid w:val="00127058"/>
    <w:rsid w:val="00170B89"/>
    <w:rsid w:val="001976FE"/>
    <w:rsid w:val="001B2538"/>
    <w:rsid w:val="001C35DA"/>
    <w:rsid w:val="001C52FA"/>
    <w:rsid w:val="001D26AF"/>
    <w:rsid w:val="001D3B57"/>
    <w:rsid w:val="001D3E27"/>
    <w:rsid w:val="001F097E"/>
    <w:rsid w:val="001F6CB4"/>
    <w:rsid w:val="00202E92"/>
    <w:rsid w:val="002039E6"/>
    <w:rsid w:val="0023327A"/>
    <w:rsid w:val="0026004A"/>
    <w:rsid w:val="00274848"/>
    <w:rsid w:val="002A019B"/>
    <w:rsid w:val="002A72EA"/>
    <w:rsid w:val="002B4D29"/>
    <w:rsid w:val="002C43C3"/>
    <w:rsid w:val="002E7352"/>
    <w:rsid w:val="002F5B4A"/>
    <w:rsid w:val="00314B0B"/>
    <w:rsid w:val="00336783"/>
    <w:rsid w:val="003934B8"/>
    <w:rsid w:val="00397CD3"/>
    <w:rsid w:val="003E6511"/>
    <w:rsid w:val="00423423"/>
    <w:rsid w:val="00426D26"/>
    <w:rsid w:val="00431642"/>
    <w:rsid w:val="00485D9D"/>
    <w:rsid w:val="004D6545"/>
    <w:rsid w:val="0050677D"/>
    <w:rsid w:val="00514195"/>
    <w:rsid w:val="00522813"/>
    <w:rsid w:val="0053267A"/>
    <w:rsid w:val="0053791C"/>
    <w:rsid w:val="005559A5"/>
    <w:rsid w:val="00570208"/>
    <w:rsid w:val="00593EFD"/>
    <w:rsid w:val="005B0796"/>
    <w:rsid w:val="005E0965"/>
    <w:rsid w:val="005E1B5B"/>
    <w:rsid w:val="00616340"/>
    <w:rsid w:val="006247B9"/>
    <w:rsid w:val="006271B4"/>
    <w:rsid w:val="0062768A"/>
    <w:rsid w:val="00634142"/>
    <w:rsid w:val="006374EA"/>
    <w:rsid w:val="0064254F"/>
    <w:rsid w:val="00677AA4"/>
    <w:rsid w:val="006918B3"/>
    <w:rsid w:val="006926C0"/>
    <w:rsid w:val="006A5472"/>
    <w:rsid w:val="006D4BBF"/>
    <w:rsid w:val="00701955"/>
    <w:rsid w:val="00706D77"/>
    <w:rsid w:val="00717A5E"/>
    <w:rsid w:val="00743505"/>
    <w:rsid w:val="00767C4F"/>
    <w:rsid w:val="00782BA8"/>
    <w:rsid w:val="00784DEB"/>
    <w:rsid w:val="007948A8"/>
    <w:rsid w:val="008202B4"/>
    <w:rsid w:val="0083379D"/>
    <w:rsid w:val="00842349"/>
    <w:rsid w:val="00863424"/>
    <w:rsid w:val="008C1D42"/>
    <w:rsid w:val="008D5C93"/>
    <w:rsid w:val="008D61A7"/>
    <w:rsid w:val="009258BA"/>
    <w:rsid w:val="00955F97"/>
    <w:rsid w:val="00956F8F"/>
    <w:rsid w:val="009704AF"/>
    <w:rsid w:val="0097749C"/>
    <w:rsid w:val="009828EF"/>
    <w:rsid w:val="0099499D"/>
    <w:rsid w:val="009A3802"/>
    <w:rsid w:val="009B1E1B"/>
    <w:rsid w:val="009B2B18"/>
    <w:rsid w:val="00A20C7A"/>
    <w:rsid w:val="00A219EC"/>
    <w:rsid w:val="00A53C63"/>
    <w:rsid w:val="00A72581"/>
    <w:rsid w:val="00A835D2"/>
    <w:rsid w:val="00AA037C"/>
    <w:rsid w:val="00AE0EE3"/>
    <w:rsid w:val="00AE3E6D"/>
    <w:rsid w:val="00AF4DD8"/>
    <w:rsid w:val="00B06ADF"/>
    <w:rsid w:val="00B07EA9"/>
    <w:rsid w:val="00B344F1"/>
    <w:rsid w:val="00B53A62"/>
    <w:rsid w:val="00B71F9A"/>
    <w:rsid w:val="00BB41E9"/>
    <w:rsid w:val="00BB49CD"/>
    <w:rsid w:val="00BC27EF"/>
    <w:rsid w:val="00BC4021"/>
    <w:rsid w:val="00C270CE"/>
    <w:rsid w:val="00C432B9"/>
    <w:rsid w:val="00C55905"/>
    <w:rsid w:val="00C80593"/>
    <w:rsid w:val="00C83328"/>
    <w:rsid w:val="00C94F4A"/>
    <w:rsid w:val="00CA225E"/>
    <w:rsid w:val="00CA6B45"/>
    <w:rsid w:val="00CA7E74"/>
    <w:rsid w:val="00CB43A0"/>
    <w:rsid w:val="00D31AFE"/>
    <w:rsid w:val="00D8071A"/>
    <w:rsid w:val="00D954EF"/>
    <w:rsid w:val="00DB0AC2"/>
    <w:rsid w:val="00DB5FFA"/>
    <w:rsid w:val="00DC1247"/>
    <w:rsid w:val="00DE2FC4"/>
    <w:rsid w:val="00E04576"/>
    <w:rsid w:val="00E371FD"/>
    <w:rsid w:val="00E5374E"/>
    <w:rsid w:val="00E62296"/>
    <w:rsid w:val="00E641B2"/>
    <w:rsid w:val="00EB3738"/>
    <w:rsid w:val="00EC4419"/>
    <w:rsid w:val="00EE3DA8"/>
    <w:rsid w:val="00EF0143"/>
    <w:rsid w:val="00F27568"/>
    <w:rsid w:val="00F4270C"/>
    <w:rsid w:val="00F57C6E"/>
    <w:rsid w:val="00F7429F"/>
    <w:rsid w:val="00FC187B"/>
    <w:rsid w:val="00FD5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lang w:eastAsia="en-US"/>
    </w:rPr>
  </w:style>
  <w:style w:type="paragraph" w:styleId="Heading1">
    <w:name w:val="heading 1"/>
    <w:basedOn w:val="Normal"/>
    <w:next w:val="Normal"/>
    <w:qFormat/>
    <w:pPr>
      <w:keepNext/>
      <w:jc w:val="both"/>
      <w:outlineLvl w:val="0"/>
    </w:pPr>
    <w:rPr>
      <w:rFonts w:ascii="Arial" w:hAnsi="Arial"/>
      <w:b/>
      <w:bCs/>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both"/>
      <w:outlineLvl w:val="2"/>
    </w:pPr>
    <w:rPr>
      <w:rFonts w:ascii="Arial" w:hAnsi="Arial"/>
      <w:u w:val="single"/>
    </w:rPr>
  </w:style>
  <w:style w:type="paragraph" w:styleId="Heading4">
    <w:name w:val="heading 4"/>
    <w:basedOn w:val="Normal"/>
    <w:next w:val="Normal"/>
    <w:qFormat/>
    <w:pPr>
      <w:keepNext/>
      <w:jc w:val="both"/>
      <w:outlineLvl w:val="3"/>
    </w:pPr>
    <w:rPr>
      <w:rFonts w:ascii="Arial" w:hAnsi="Arial"/>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BodyText3">
    <w:name w:val="Body Text 3"/>
    <w:basedOn w:val="Normal"/>
    <w:pPr>
      <w:jc w:val="both"/>
    </w:pPr>
    <w:rPr>
      <w:rFonts w:ascii="Arial" w:hAnsi="Arial"/>
      <w:b/>
      <w:bCs/>
      <w:sz w:val="28"/>
    </w:rPr>
  </w:style>
  <w:style w:type="paragraph" w:styleId="BalloonText">
    <w:name w:val="Balloon Text"/>
    <w:basedOn w:val="Normal"/>
    <w:semiHidden/>
    <w:rsid w:val="001F097E"/>
    <w:rPr>
      <w:rFonts w:ascii="Tahoma" w:hAnsi="Tahoma" w:cs="Tahoma"/>
      <w:sz w:val="16"/>
      <w:szCs w:val="16"/>
    </w:rPr>
  </w:style>
  <w:style w:type="paragraph" w:styleId="ListParagraph">
    <w:name w:val="List Paragraph"/>
    <w:basedOn w:val="Normal"/>
    <w:uiPriority w:val="34"/>
    <w:qFormat/>
    <w:rsid w:val="00EB3738"/>
    <w:pPr>
      <w:widowControl/>
      <w:ind w:left="720"/>
      <w:contextualSpacing/>
    </w:pPr>
    <w:rPr>
      <w:rFonts w:ascii="Arial" w:eastAsia="Calibri" w:hAnsi="Arial" w:cs="Arial"/>
      <w:snapToGrid/>
      <w:szCs w:val="24"/>
      <w:lang w:bidi="en-US"/>
    </w:rPr>
  </w:style>
</w:styles>
</file>

<file path=word/webSettings.xml><?xml version="1.0" encoding="utf-8"?>
<w:webSettings xmlns:r="http://schemas.openxmlformats.org/officeDocument/2006/relationships" xmlns:w="http://schemas.openxmlformats.org/wordprocessingml/2006/main">
  <w:divs>
    <w:div w:id="1191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mc%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lmc memo</Template>
  <TotalTime>1</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LOS MEDANOS COLLEGE  President's Office</vt:lpstr>
    </vt:vector>
  </TitlesOfParts>
  <Company>CCCCD 510-229-1000</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MEDANOS COLLEGE  President's Office</dc:title>
  <dc:subject/>
  <dc:creator>Bruce Cutler</dc:creator>
  <cp:keywords/>
  <cp:lastModifiedBy>RGoodin</cp:lastModifiedBy>
  <cp:revision>2</cp:revision>
  <cp:lastPrinted>2010-03-26T15:58:00Z</cp:lastPrinted>
  <dcterms:created xsi:type="dcterms:W3CDTF">2011-03-29T22:06:00Z</dcterms:created>
  <dcterms:modified xsi:type="dcterms:W3CDTF">2011-03-29T22:06:00Z</dcterms:modified>
</cp:coreProperties>
</file>