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824" w14:textId="6D1420B9" w:rsidR="000164A0" w:rsidRP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</w:t>
      </w:r>
      <w:r w:rsidR="00D307D0">
        <w:rPr>
          <w:b/>
          <w:bCs/>
        </w:rPr>
        <w:t xml:space="preserve">MINUTES </w:t>
      </w:r>
      <w:r w:rsidRPr="2F3B18E7">
        <w:rPr>
          <w:b/>
          <w:bCs/>
        </w:rPr>
        <w:t xml:space="preserve">FOR </w:t>
      </w:r>
      <w:r w:rsidR="000164A0">
        <w:br/>
      </w:r>
      <w:r w:rsidR="007C5F2C">
        <w:rPr>
          <w:b/>
          <w:bCs/>
        </w:rPr>
        <w:t>February 23</w:t>
      </w:r>
      <w:r w:rsidR="007C5F2C" w:rsidRPr="007C5F2C">
        <w:rPr>
          <w:b/>
          <w:bCs/>
          <w:vertAlign w:val="superscript"/>
        </w:rPr>
        <w:t>rd</w:t>
      </w:r>
      <w:r w:rsidR="007C5F2C">
        <w:rPr>
          <w:b/>
          <w:bCs/>
        </w:rPr>
        <w:t>, 2023</w:t>
      </w:r>
    </w:p>
    <w:p w14:paraId="46FD0ED2" w14:textId="57D51C3E" w:rsidR="000164A0" w:rsidRPr="000164A0" w:rsidRDefault="005C2354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 xml:space="preserve">Zoom: </w:t>
      </w:r>
      <w:hyperlink r:id="rId10" w:history="1">
        <w:r w:rsidR="000E08C9" w:rsidRPr="000E08C9">
          <w:rPr>
            <w:rStyle w:val="Hyperlink"/>
            <w:b/>
            <w:sz w:val="20"/>
            <w:szCs w:val="20"/>
          </w:rPr>
          <w:t>https://4cd.zoom.us/j/81946310524</w:t>
        </w:r>
      </w:hyperlink>
    </w:p>
    <w:p w14:paraId="50563419" w14:textId="3F48ED91" w:rsidR="2F3B18E7" w:rsidRDefault="2F3B18E7" w:rsidP="007C5F2C">
      <w:pPr>
        <w:spacing w:after="0"/>
        <w:jc w:val="center"/>
        <w:rPr>
          <w:b/>
          <w:bCs/>
        </w:rPr>
      </w:pPr>
      <w:r w:rsidRPr="2F3B18E7">
        <w:rPr>
          <w:b/>
          <w:bCs/>
        </w:rPr>
        <w:t>Meeting: 3:</w:t>
      </w:r>
      <w:r w:rsidR="00344E83">
        <w:rPr>
          <w:b/>
          <w:bCs/>
        </w:rPr>
        <w:t>0</w:t>
      </w:r>
      <w:r w:rsidRPr="2F3B18E7">
        <w:rPr>
          <w:b/>
          <w:bCs/>
        </w:rPr>
        <w:t>0PM – 4:</w:t>
      </w:r>
      <w:r w:rsidR="00344E83">
        <w:rPr>
          <w:b/>
          <w:bCs/>
        </w:rPr>
        <w:t>0</w:t>
      </w:r>
      <w:r w:rsidRPr="2F3B18E7">
        <w:rPr>
          <w:b/>
          <w:bCs/>
        </w:rPr>
        <w:t>0PM</w:t>
      </w:r>
    </w:p>
    <w:p w14:paraId="6BCEA100" w14:textId="75F3920B" w:rsidR="00D307D0" w:rsidRDefault="00D307D0" w:rsidP="00D307D0">
      <w:pPr>
        <w:spacing w:after="0"/>
        <w:ind w:left="2880" w:right="2880"/>
        <w:jc w:val="center"/>
        <w:rPr>
          <w:color w:val="000000" w:themeColor="text1"/>
        </w:rPr>
      </w:pPr>
      <w:r w:rsidRPr="00D307D0">
        <w:rPr>
          <w:b/>
          <w:color w:val="000000" w:themeColor="text1"/>
        </w:rPr>
        <w:t>Members:</w:t>
      </w:r>
      <w:r>
        <w:rPr>
          <w:color w:val="000000" w:themeColor="text1"/>
        </w:rPr>
        <w:t xml:space="preserve"> Erlinda Jones (Co-chair), Robert Delgado (Co-chair), Rosa Armendariz, Natalie Hannum, Jeffrey Benford, Jill Buettner, Courtney Diputado</w:t>
      </w:r>
      <w:r w:rsidR="009631FD">
        <w:rPr>
          <w:color w:val="000000" w:themeColor="text1"/>
        </w:rPr>
        <w:t>, Jim Kol</w:t>
      </w:r>
      <w:r w:rsidR="00BD014A">
        <w:rPr>
          <w:color w:val="000000" w:themeColor="text1"/>
        </w:rPr>
        <w:t>thoff</w:t>
      </w:r>
    </w:p>
    <w:p w14:paraId="09E54DBA" w14:textId="765F4AF3" w:rsidR="00F17988" w:rsidRPr="009631FD" w:rsidRDefault="00F17988" w:rsidP="00D307D0">
      <w:pPr>
        <w:spacing w:after="0"/>
        <w:ind w:left="2880" w:right="2880"/>
        <w:jc w:val="center"/>
        <w:rPr>
          <w:color w:val="000000" w:themeColor="text1"/>
          <w:lang w:val="es-MX"/>
        </w:rPr>
      </w:pPr>
      <w:proofErr w:type="spellStart"/>
      <w:r w:rsidRPr="009631FD">
        <w:rPr>
          <w:b/>
          <w:color w:val="000000" w:themeColor="text1"/>
          <w:lang w:val="es-MX"/>
        </w:rPr>
        <w:t>Present</w:t>
      </w:r>
      <w:proofErr w:type="spellEnd"/>
      <w:r w:rsidRPr="009631FD">
        <w:rPr>
          <w:b/>
          <w:color w:val="000000" w:themeColor="text1"/>
          <w:lang w:val="es-MX"/>
        </w:rPr>
        <w:t>:</w:t>
      </w:r>
      <w:r w:rsidRPr="009631FD">
        <w:rPr>
          <w:b/>
          <w:bCs/>
          <w:color w:val="000000" w:themeColor="text1"/>
          <w:lang w:val="es-MX"/>
        </w:rPr>
        <w:t xml:space="preserve"> </w:t>
      </w:r>
      <w:r w:rsidR="009631FD" w:rsidRPr="009631FD">
        <w:rPr>
          <w:color w:val="000000" w:themeColor="text1"/>
          <w:lang w:val="es-MX"/>
        </w:rPr>
        <w:t>Erlinda Jones, Robert Delgado, Rosa A</w:t>
      </w:r>
      <w:r w:rsidR="009631FD">
        <w:rPr>
          <w:color w:val="000000" w:themeColor="text1"/>
          <w:lang w:val="es-MX"/>
        </w:rPr>
        <w:t>rmendariz, Natalie Hannum, Jill Buettner, Courtney Diputado</w:t>
      </w:r>
      <w:r w:rsidR="00BD014A">
        <w:rPr>
          <w:color w:val="000000" w:themeColor="text1"/>
          <w:lang w:val="es-MX"/>
        </w:rPr>
        <w:t>, J</w:t>
      </w:r>
      <w:r w:rsidR="00C73922">
        <w:rPr>
          <w:color w:val="000000" w:themeColor="text1"/>
          <w:lang w:val="es-MX"/>
        </w:rPr>
        <w:t>ames</w:t>
      </w:r>
      <w:r w:rsidR="00BD014A">
        <w:rPr>
          <w:color w:val="000000" w:themeColor="text1"/>
          <w:lang w:val="es-MX"/>
        </w:rPr>
        <w:t xml:space="preserve"> Kolthoff</w:t>
      </w:r>
      <w:r w:rsidR="000565D6">
        <w:rPr>
          <w:color w:val="000000" w:themeColor="text1"/>
          <w:lang w:val="es-MX"/>
        </w:rPr>
        <w:t>, Jacob Boyle</w:t>
      </w:r>
    </w:p>
    <w:p w14:paraId="5CF243F5" w14:textId="77777777" w:rsidR="007C5F2C" w:rsidRPr="009631FD" w:rsidRDefault="007C5F2C" w:rsidP="007C5F2C">
      <w:pPr>
        <w:spacing w:after="0"/>
        <w:jc w:val="center"/>
        <w:rPr>
          <w:color w:val="000000" w:themeColor="text1"/>
          <w:lang w:val="es-MX"/>
        </w:rPr>
      </w:pPr>
    </w:p>
    <w:tbl>
      <w:tblPr>
        <w:tblStyle w:val="TableGrid"/>
        <w:tblW w:w="134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  <w:gridCol w:w="2943"/>
        <w:gridCol w:w="1239"/>
      </w:tblGrid>
      <w:tr w:rsidR="00B845A1" w:rsidRPr="0037416D" w14:paraId="0E1E4649" w14:textId="77777777" w:rsidTr="00B845A1">
        <w:trPr>
          <w:trHeight w:val="261"/>
        </w:trPr>
        <w:tc>
          <w:tcPr>
            <w:tcW w:w="9285" w:type="dxa"/>
            <w:shd w:val="clear" w:color="auto" w:fill="D9D9D9" w:themeFill="background1" w:themeFillShade="D9"/>
          </w:tcPr>
          <w:p w14:paraId="0ED0DD83" w14:textId="77777777" w:rsidR="00B845A1" w:rsidRPr="0037416D" w:rsidRDefault="00B845A1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DCE96DE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797ED042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</w:tr>
      <w:tr w:rsidR="00B845A1" w:rsidRPr="0037416D" w14:paraId="600C5ABD" w14:textId="77777777" w:rsidTr="00B845A1">
        <w:trPr>
          <w:trHeight w:val="586"/>
        </w:trPr>
        <w:tc>
          <w:tcPr>
            <w:tcW w:w="9285" w:type="dxa"/>
          </w:tcPr>
          <w:p w14:paraId="3A7B21CE" w14:textId="77777777" w:rsidR="00B845A1" w:rsidRDefault="00B845A1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165385B5" w14:textId="7EF3DC9C" w:rsidR="004F2251" w:rsidRPr="0037416D" w:rsidRDefault="004F2251" w:rsidP="004F2251">
            <w:p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Introductions: </w:t>
            </w:r>
            <w:r w:rsidR="00C73922">
              <w:rPr>
                <w:sz w:val="20"/>
                <w:szCs w:val="20"/>
              </w:rPr>
              <w:t xml:space="preserve">Robert Delgado, James </w:t>
            </w:r>
            <w:proofErr w:type="spellStart"/>
            <w:r w:rsidR="00C73922">
              <w:rPr>
                <w:sz w:val="20"/>
                <w:szCs w:val="20"/>
              </w:rPr>
              <w:t>Kohthoff</w:t>
            </w:r>
            <w:proofErr w:type="spellEnd"/>
            <w:r w:rsidR="00C73922">
              <w:rPr>
                <w:sz w:val="20"/>
                <w:szCs w:val="20"/>
              </w:rPr>
              <w:t xml:space="preserve"> (first meeting), </w:t>
            </w:r>
            <w:r w:rsidR="00B0693F">
              <w:rPr>
                <w:sz w:val="20"/>
                <w:szCs w:val="20"/>
              </w:rPr>
              <w:t xml:space="preserve">Rosa Armendariz, Erlinda Jones, </w:t>
            </w:r>
            <w:r w:rsidR="0000641F">
              <w:rPr>
                <w:sz w:val="20"/>
                <w:szCs w:val="20"/>
              </w:rPr>
              <w:t xml:space="preserve">Courtney Diputado, Jill Buettner, </w:t>
            </w:r>
            <w:r w:rsidR="000565D6">
              <w:rPr>
                <w:sz w:val="20"/>
                <w:szCs w:val="20"/>
              </w:rPr>
              <w:t xml:space="preserve">Jacob Boyle, </w:t>
            </w:r>
            <w:r w:rsidR="0000641F">
              <w:rPr>
                <w:sz w:val="20"/>
                <w:szCs w:val="20"/>
              </w:rPr>
              <w:t>Natalie Hannum</w:t>
            </w:r>
          </w:p>
          <w:p w14:paraId="1CB6441E" w14:textId="115600F6" w:rsidR="00B845A1" w:rsidRDefault="00B845A1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</w:t>
            </w:r>
          </w:p>
          <w:p w14:paraId="7342528F" w14:textId="18DBD42D" w:rsidR="002944F3" w:rsidRPr="002944F3" w:rsidRDefault="002944F3" w:rsidP="002944F3">
            <w:pPr>
              <w:ind w:left="360"/>
              <w:contextualSpacing/>
              <w:rPr>
                <w:sz w:val="20"/>
                <w:szCs w:val="20"/>
              </w:rPr>
            </w:pPr>
            <w:r w:rsidRPr="002944F3">
              <w:rPr>
                <w:sz w:val="20"/>
                <w:szCs w:val="20"/>
              </w:rPr>
              <w:t xml:space="preserve">Rosa Armendariz reminded us of </w:t>
            </w:r>
            <w:r>
              <w:rPr>
                <w:sz w:val="20"/>
                <w:szCs w:val="20"/>
              </w:rPr>
              <w:t xml:space="preserve">the </w:t>
            </w:r>
            <w:r w:rsidR="00F45E4C">
              <w:rPr>
                <w:sz w:val="20"/>
                <w:szCs w:val="20"/>
              </w:rPr>
              <w:t>CCC Pedagogy Conference. Equity and Inclusion are co-sponsors.</w:t>
            </w:r>
            <w:r w:rsidR="00360344">
              <w:rPr>
                <w:sz w:val="20"/>
                <w:szCs w:val="20"/>
              </w:rPr>
              <w:t xml:space="preserve"> PIP is participating. P</w:t>
            </w:r>
            <w:r w:rsidR="00E939BD">
              <w:rPr>
                <w:sz w:val="20"/>
                <w:szCs w:val="20"/>
              </w:rPr>
              <w:t xml:space="preserve">DAC will send a message reminding the </w:t>
            </w:r>
            <w:r w:rsidR="0076379F">
              <w:rPr>
                <w:sz w:val="20"/>
                <w:szCs w:val="20"/>
              </w:rPr>
              <w:t xml:space="preserve">LMC </w:t>
            </w:r>
            <w:r w:rsidR="00E939BD">
              <w:rPr>
                <w:sz w:val="20"/>
                <w:szCs w:val="20"/>
              </w:rPr>
              <w:t>community</w:t>
            </w:r>
            <w:r w:rsidR="0076379F">
              <w:rPr>
                <w:sz w:val="20"/>
                <w:szCs w:val="20"/>
              </w:rPr>
              <w:t xml:space="preserve"> and encouraging them to attend</w:t>
            </w:r>
            <w:r w:rsidR="00C73922">
              <w:rPr>
                <w:sz w:val="20"/>
                <w:szCs w:val="20"/>
              </w:rPr>
              <w:t xml:space="preserve"> emphasizing</w:t>
            </w:r>
            <w:r w:rsidR="00E939BD">
              <w:rPr>
                <w:sz w:val="20"/>
                <w:szCs w:val="20"/>
              </w:rPr>
              <w:t xml:space="preserve"> presenters from LMC.</w:t>
            </w:r>
          </w:p>
          <w:p w14:paraId="20CCBA06" w14:textId="6EF19C82" w:rsidR="00B845A1" w:rsidRPr="002944F3" w:rsidRDefault="00B845A1" w:rsidP="002944F3">
            <w:pPr>
              <w:ind w:left="1440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943" w:type="dxa"/>
          </w:tcPr>
          <w:p w14:paraId="69093804" w14:textId="00F0B779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1239" w:type="dxa"/>
          </w:tcPr>
          <w:p w14:paraId="21B6E85E" w14:textId="7CF4065A" w:rsidR="00B845A1" w:rsidRDefault="004C7FD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0FD1BBE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477E7B64" w14:textId="77777777" w:rsidTr="00B845A1">
        <w:trPr>
          <w:trHeight w:val="261"/>
        </w:trPr>
        <w:tc>
          <w:tcPr>
            <w:tcW w:w="9285" w:type="dxa"/>
            <w:shd w:val="clear" w:color="auto" w:fill="BFBFBF" w:themeFill="background1" w:themeFillShade="BF"/>
          </w:tcPr>
          <w:p w14:paraId="5501EA99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591E153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14:paraId="087DFCA8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1DB01EAE" w14:textId="77777777" w:rsidTr="00B845A1">
        <w:trPr>
          <w:trHeight w:val="1268"/>
        </w:trPr>
        <w:tc>
          <w:tcPr>
            <w:tcW w:w="9285" w:type="dxa"/>
            <w:tcBorders>
              <w:bottom w:val="single" w:sz="4" w:space="0" w:color="auto"/>
            </w:tcBorders>
          </w:tcPr>
          <w:p w14:paraId="0868669B" w14:textId="5F8D622E" w:rsidR="00B845A1" w:rsidRDefault="00B845A1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48D5673A" w14:textId="56A4BD52" w:rsidR="00B845A1" w:rsidRPr="00B845A1" w:rsidRDefault="001D0E9A" w:rsidP="00B845A1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James Kolthoff</w:t>
            </w:r>
            <w:r w:rsidR="00B845A1">
              <w:rPr>
                <w:i/>
                <w:sz w:val="20"/>
                <w:szCs w:val="20"/>
              </w:rPr>
              <w:t xml:space="preserve"> </w:t>
            </w:r>
            <w:r w:rsidR="00B845A1" w:rsidRPr="00B845A1">
              <w:rPr>
                <w:i/>
                <w:sz w:val="20"/>
                <w:szCs w:val="20"/>
              </w:rPr>
              <w:t xml:space="preserve">makes motion, </w:t>
            </w:r>
            <w:r w:rsidR="003E361B">
              <w:rPr>
                <w:i/>
                <w:sz w:val="20"/>
                <w:szCs w:val="20"/>
              </w:rPr>
              <w:t>Courtn</w:t>
            </w:r>
            <w:r w:rsidR="00A44D57">
              <w:rPr>
                <w:i/>
                <w:sz w:val="20"/>
                <w:szCs w:val="20"/>
              </w:rPr>
              <w:t>ey Diputado</w:t>
            </w:r>
            <w:r w:rsidR="00B845A1">
              <w:rPr>
                <w:i/>
                <w:sz w:val="20"/>
                <w:szCs w:val="20"/>
              </w:rPr>
              <w:t xml:space="preserve"> </w:t>
            </w:r>
            <w:r w:rsidR="00B845A1" w:rsidRPr="00B845A1">
              <w:rPr>
                <w:i/>
                <w:sz w:val="20"/>
                <w:szCs w:val="20"/>
              </w:rPr>
              <w:t xml:space="preserve">seconds, </w:t>
            </w:r>
            <w:r w:rsidR="00B845A1">
              <w:rPr>
                <w:i/>
                <w:sz w:val="20"/>
                <w:szCs w:val="20"/>
              </w:rPr>
              <w:t>a</w:t>
            </w:r>
            <w:r w:rsidR="00B845A1" w:rsidRPr="00B845A1">
              <w:rPr>
                <w:i/>
                <w:sz w:val="20"/>
                <w:szCs w:val="20"/>
              </w:rPr>
              <w:t>ll in favor.</w:t>
            </w:r>
          </w:p>
          <w:p w14:paraId="6087787A" w14:textId="7738B97A" w:rsidR="00B845A1" w:rsidRDefault="00B845A1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12/01/2022</w:t>
            </w:r>
          </w:p>
          <w:p w14:paraId="60141D24" w14:textId="772B1A88" w:rsidR="00B845A1" w:rsidRPr="00B845A1" w:rsidRDefault="00B845A1" w:rsidP="00B845A1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sz w:val="20"/>
                <w:szCs w:val="20"/>
              </w:rPr>
            </w:pPr>
            <w:r w:rsidRPr="00B845A1">
              <w:rPr>
                <w:i/>
                <w:sz w:val="20"/>
                <w:szCs w:val="20"/>
              </w:rPr>
              <w:t>Erlinda Jones makes motion to approve</w:t>
            </w:r>
            <w:r w:rsidR="00F0706C">
              <w:rPr>
                <w:i/>
                <w:sz w:val="20"/>
                <w:szCs w:val="20"/>
              </w:rPr>
              <w:t xml:space="preserve"> after edits</w:t>
            </w:r>
            <w:r w:rsidRPr="00B845A1">
              <w:rPr>
                <w:i/>
                <w:sz w:val="20"/>
                <w:szCs w:val="20"/>
              </w:rPr>
              <w:t>. Ro</w:t>
            </w:r>
            <w:r w:rsidR="00A44D57">
              <w:rPr>
                <w:i/>
                <w:sz w:val="20"/>
                <w:szCs w:val="20"/>
              </w:rPr>
              <w:t>sa Armendariz</w:t>
            </w:r>
            <w:r w:rsidRPr="00B845A1">
              <w:rPr>
                <w:i/>
                <w:sz w:val="20"/>
                <w:szCs w:val="20"/>
              </w:rPr>
              <w:t xml:space="preserve"> seconds, all in favor. </w:t>
            </w:r>
            <w:r w:rsidR="00671FE7">
              <w:rPr>
                <w:i/>
                <w:sz w:val="20"/>
                <w:szCs w:val="20"/>
              </w:rPr>
              <w:t>James Kolthoff</w:t>
            </w:r>
            <w:r w:rsidRPr="00B845A1">
              <w:rPr>
                <w:i/>
                <w:sz w:val="20"/>
                <w:szCs w:val="20"/>
              </w:rPr>
              <w:t xml:space="preserve"> abstains. 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EAEE510" w14:textId="56658FE1" w:rsidR="00B845A1" w:rsidRPr="0037416D" w:rsidRDefault="00B845A1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169681BD" w14:textId="7654D7A1" w:rsidR="00B845A1" w:rsidRPr="0037416D" w:rsidRDefault="00B845A1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77777777" w:rsidR="00B845A1" w:rsidRPr="0037416D" w:rsidRDefault="00B845A1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7079F0" w14:textId="69CA8778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0658CA56" w14:textId="77777777" w:rsidTr="00B845A1">
        <w:trPr>
          <w:trHeight w:val="596"/>
        </w:trPr>
        <w:tc>
          <w:tcPr>
            <w:tcW w:w="9285" w:type="dxa"/>
            <w:tcBorders>
              <w:bottom w:val="single" w:sz="4" w:space="0" w:color="auto"/>
            </w:tcBorders>
          </w:tcPr>
          <w:p w14:paraId="17158F96" w14:textId="3618B735" w:rsidR="00B845A1" w:rsidRDefault="00C62196" w:rsidP="009F6BF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Cont. Review PDAC Goals #3 and Objectives</w:t>
            </w:r>
          </w:p>
          <w:p w14:paraId="49F23080" w14:textId="30A90F2D" w:rsidR="00C62196" w:rsidRDefault="0070107E" w:rsidP="005D1E48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re-write of Goal #3. Jill makes motion, Jim seconds, all in favor. </w:t>
            </w:r>
            <w:r w:rsidR="005D1E48">
              <w:rPr>
                <w:sz w:val="20"/>
                <w:szCs w:val="20"/>
              </w:rPr>
              <w:t xml:space="preserve">Robert, Rosa and Erlinda met to work on PDAC goal number </w:t>
            </w:r>
            <w:r w:rsidR="005562E0">
              <w:rPr>
                <w:sz w:val="20"/>
                <w:szCs w:val="20"/>
              </w:rPr>
              <w:t xml:space="preserve">3. </w:t>
            </w:r>
            <w:r w:rsidR="00537B50">
              <w:rPr>
                <w:sz w:val="20"/>
                <w:szCs w:val="20"/>
              </w:rPr>
              <w:t>Suggested re</w:t>
            </w:r>
            <w:r w:rsidR="00CC3421">
              <w:rPr>
                <w:sz w:val="20"/>
                <w:szCs w:val="20"/>
              </w:rPr>
              <w:t>write:</w:t>
            </w:r>
          </w:p>
          <w:p w14:paraId="135621D7" w14:textId="6C5880FF" w:rsidR="00CC3421" w:rsidRPr="0070107E" w:rsidRDefault="0070107E" w:rsidP="00CC3421">
            <w:pPr>
              <w:pStyle w:val="ListParagraph"/>
              <w:spacing w:line="252" w:lineRule="auto"/>
              <w:ind w:left="14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</w:t>
            </w:r>
            <w:r w:rsidR="00CC3421" w:rsidRPr="0070107E">
              <w:rPr>
                <w:i/>
                <w:sz w:val="20"/>
                <w:szCs w:val="20"/>
              </w:rPr>
              <w:t>All LMC employees will engage in the necessary training on tools and resources to use relev</w:t>
            </w:r>
            <w:r w:rsidR="0075001F" w:rsidRPr="0070107E">
              <w:rPr>
                <w:i/>
                <w:sz w:val="20"/>
                <w:szCs w:val="20"/>
              </w:rPr>
              <w:t xml:space="preserve">ant technology and learning management programs to succeed in their roles (i.e. GROW, Canvas, </w:t>
            </w:r>
            <w:r w:rsidR="00B75806" w:rsidRPr="0070107E">
              <w:rPr>
                <w:i/>
                <w:sz w:val="20"/>
                <w:szCs w:val="20"/>
              </w:rPr>
              <w:t xml:space="preserve">E-Lumen, </w:t>
            </w:r>
            <w:proofErr w:type="spellStart"/>
            <w:r w:rsidR="00B75806" w:rsidRPr="0070107E">
              <w:rPr>
                <w:i/>
                <w:sz w:val="20"/>
                <w:szCs w:val="20"/>
              </w:rPr>
              <w:t>Sharepoint</w:t>
            </w:r>
            <w:proofErr w:type="spellEnd"/>
            <w:r w:rsidR="00B75806" w:rsidRPr="0070107E">
              <w:rPr>
                <w:i/>
                <w:sz w:val="20"/>
                <w:szCs w:val="20"/>
              </w:rPr>
              <w:t xml:space="preserve">, </w:t>
            </w:r>
            <w:r w:rsidR="0075001F" w:rsidRPr="0070107E">
              <w:rPr>
                <w:i/>
                <w:sz w:val="20"/>
                <w:szCs w:val="20"/>
              </w:rPr>
              <w:t>Adobe, etc.).</w:t>
            </w:r>
            <w:r w:rsidRPr="0070107E">
              <w:rPr>
                <w:i/>
                <w:sz w:val="20"/>
                <w:szCs w:val="20"/>
              </w:rPr>
              <w:t>”</w:t>
            </w:r>
          </w:p>
          <w:p w14:paraId="25F36FC1" w14:textId="2881136B" w:rsidR="00100348" w:rsidRDefault="00100348" w:rsidP="00100348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possible objectives:</w:t>
            </w:r>
          </w:p>
          <w:p w14:paraId="02212D59" w14:textId="6FA47EE3" w:rsidR="00100348" w:rsidRDefault="00100348" w:rsidP="00100348">
            <w:pPr>
              <w:pStyle w:val="ListParagraph"/>
              <w:spacing w:line="252" w:lineRule="auto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technology </w:t>
            </w:r>
            <w:r w:rsidR="00CE259C">
              <w:rPr>
                <w:sz w:val="20"/>
                <w:szCs w:val="20"/>
              </w:rPr>
              <w:t>training needs for the campus: attend senates, survey, other meetings</w:t>
            </w:r>
          </w:p>
          <w:p w14:paraId="116A2F03" w14:textId="680E6B81" w:rsidR="00CE259C" w:rsidRDefault="00CE259C" w:rsidP="00100348">
            <w:pPr>
              <w:pStyle w:val="ListParagraph"/>
              <w:spacing w:line="252" w:lineRule="auto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 employees will participate in technology trainings which will result in increased job efficiency and competencies.</w:t>
            </w:r>
          </w:p>
          <w:p w14:paraId="6C0A830D" w14:textId="462FAE8B" w:rsidR="005F2B80" w:rsidRPr="005F2B80" w:rsidRDefault="00CE259C" w:rsidP="0014373B">
            <w:pPr>
              <w:pStyle w:val="ListParagraph"/>
              <w:spacing w:line="252" w:lineRule="auto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Continuous trainings will be offered GROW, Canvas, and ELUMEN learning management systems</w:t>
            </w:r>
          </w:p>
          <w:p w14:paraId="00D13A97" w14:textId="77777777" w:rsidR="00100348" w:rsidRPr="00100348" w:rsidRDefault="00100348" w:rsidP="00100348">
            <w:pPr>
              <w:spacing w:line="252" w:lineRule="auto"/>
              <w:rPr>
                <w:sz w:val="20"/>
                <w:szCs w:val="20"/>
              </w:rPr>
            </w:pPr>
          </w:p>
          <w:p w14:paraId="52376482" w14:textId="74F4CA0F" w:rsidR="00B845A1" w:rsidRDefault="00B845A1" w:rsidP="009F6BF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>Rev</w:t>
            </w:r>
            <w:r w:rsidR="000666FC">
              <w:rPr>
                <w:sz w:val="20"/>
                <w:szCs w:val="20"/>
              </w:rPr>
              <w:t>iew Committee Membership (fill vacancies)</w:t>
            </w:r>
          </w:p>
          <w:p w14:paraId="01EC0EC1" w14:textId="03AE6D65" w:rsidR="0049713E" w:rsidRDefault="000666FC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</w:t>
            </w:r>
            <w:r w:rsidR="00FB398C">
              <w:rPr>
                <w:i/>
                <w:sz w:val="20"/>
                <w:szCs w:val="20"/>
              </w:rPr>
              <w:t xml:space="preserve">cob </w:t>
            </w:r>
            <w:r w:rsidR="00BB1CB5">
              <w:rPr>
                <w:i/>
                <w:sz w:val="20"/>
                <w:szCs w:val="20"/>
              </w:rPr>
              <w:t xml:space="preserve">Boyle </w:t>
            </w:r>
            <w:r w:rsidR="00FB398C">
              <w:rPr>
                <w:i/>
                <w:sz w:val="20"/>
                <w:szCs w:val="20"/>
              </w:rPr>
              <w:t>from LMCAS</w:t>
            </w:r>
            <w:r w:rsidR="00B7562B">
              <w:rPr>
                <w:i/>
                <w:sz w:val="20"/>
                <w:szCs w:val="20"/>
              </w:rPr>
              <w:t>, Ja</w:t>
            </w:r>
            <w:r>
              <w:rPr>
                <w:i/>
                <w:sz w:val="20"/>
                <w:szCs w:val="20"/>
              </w:rPr>
              <w:t>mes Kolthoff here and Jill Buettner official members, yay</w:t>
            </w:r>
          </w:p>
          <w:p w14:paraId="40B15C53" w14:textId="1C44D0A2" w:rsidR="000666FC" w:rsidRDefault="00B7562B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One faculty position, Jeffrey </w:t>
            </w:r>
            <w:r w:rsidR="00E315F4">
              <w:rPr>
                <w:i/>
                <w:sz w:val="20"/>
                <w:szCs w:val="20"/>
              </w:rPr>
              <w:t xml:space="preserve">Benford </w:t>
            </w:r>
            <w:r>
              <w:rPr>
                <w:i/>
                <w:sz w:val="20"/>
                <w:szCs w:val="20"/>
              </w:rPr>
              <w:t xml:space="preserve">has not responded </w:t>
            </w:r>
            <w:r w:rsidR="00CB7189">
              <w:rPr>
                <w:i/>
                <w:sz w:val="20"/>
                <w:szCs w:val="20"/>
              </w:rPr>
              <w:t>and participated in the special meeting. Natalie</w:t>
            </w:r>
            <w:r w:rsidR="00E315F4">
              <w:rPr>
                <w:i/>
                <w:sz w:val="20"/>
                <w:szCs w:val="20"/>
              </w:rPr>
              <w:t xml:space="preserve"> Hannum</w:t>
            </w:r>
            <w:r w:rsidR="00CB7189">
              <w:rPr>
                <w:i/>
                <w:sz w:val="20"/>
                <w:szCs w:val="20"/>
              </w:rPr>
              <w:t xml:space="preserve"> is here until the end of the semester.</w:t>
            </w:r>
          </w:p>
          <w:p w14:paraId="5E384502" w14:textId="06BDAFC8" w:rsidR="000E647E" w:rsidRPr="0049713E" w:rsidRDefault="004E3BDF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Action item to confirm with interested potential members or do a call-out to senates.</w:t>
            </w:r>
          </w:p>
          <w:p w14:paraId="7663EFBA" w14:textId="0E9B26A1" w:rsidR="00B845A1" w:rsidRPr="00E562F4" w:rsidRDefault="00B845A1" w:rsidP="00996155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00E562F4">
              <w:rPr>
                <w:sz w:val="20"/>
                <w:szCs w:val="20"/>
              </w:rPr>
              <w:t xml:space="preserve">Review of Conferences and Summits </w:t>
            </w:r>
          </w:p>
          <w:p w14:paraId="36D4EDEF" w14:textId="0805F219" w:rsidR="0085311D" w:rsidRDefault="00C845FD" w:rsidP="00A86CCD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Review of spreadsheet with various </w:t>
            </w:r>
            <w:r w:rsidR="00DA5035" w:rsidRPr="00E069C5">
              <w:rPr>
                <w:rFonts w:eastAsiaTheme="minorEastAsia"/>
                <w:i/>
                <w:sz w:val="20"/>
                <w:szCs w:val="20"/>
              </w:rPr>
              <w:t xml:space="preserve">upcoming references. </w:t>
            </w:r>
          </w:p>
          <w:p w14:paraId="6368B949" w14:textId="3219068A" w:rsidR="003D02F8" w:rsidRDefault="003D02F8" w:rsidP="003D02F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Rosa Armendariz mentioned that conferences are selling out</w:t>
            </w:r>
            <w:r w:rsidR="00EE669B">
              <w:rPr>
                <w:rFonts w:eastAsiaTheme="minorEastAsia"/>
                <w:i/>
                <w:sz w:val="20"/>
                <w:szCs w:val="20"/>
              </w:rPr>
              <w:t xml:space="preserve"> and we need to be proactive in registering.</w:t>
            </w:r>
          </w:p>
          <w:p w14:paraId="1BB10528" w14:textId="5829DA77" w:rsidR="003D02F8" w:rsidRDefault="00653AD4" w:rsidP="00721E37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653AD4">
              <w:rPr>
                <w:rFonts w:eastAsiaTheme="minorEastAsia"/>
                <w:i/>
                <w:sz w:val="20"/>
                <w:szCs w:val="20"/>
              </w:rPr>
              <w:t>Have registered some students for the LGBTQ</w:t>
            </w:r>
            <w:r>
              <w:rPr>
                <w:rFonts w:eastAsiaTheme="minorEastAsia"/>
                <w:i/>
                <w:sz w:val="20"/>
                <w:szCs w:val="20"/>
              </w:rPr>
              <w:t>+ Summit. There will be watch party in the Student Union.</w:t>
            </w:r>
          </w:p>
          <w:p w14:paraId="2C2D02FD" w14:textId="52581E43" w:rsidR="00F93388" w:rsidRDefault="004824F0" w:rsidP="00721E37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PDAC will keep the running list of conferences so that we are prepared at the start of next year.</w:t>
            </w:r>
          </w:p>
          <w:p w14:paraId="17770429" w14:textId="5713028A" w:rsidR="009708C9" w:rsidRDefault="00D769DC" w:rsidP="000070C3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Online Teaching Conference-</w:t>
            </w:r>
            <w:r w:rsidR="0079318C">
              <w:rPr>
                <w:rFonts w:eastAsiaTheme="minorEastAsia"/>
                <w:i/>
                <w:sz w:val="20"/>
                <w:szCs w:val="20"/>
              </w:rPr>
              <w:t>this year we want to send a team.</w:t>
            </w:r>
            <w:r w:rsidR="00D46A31">
              <w:rPr>
                <w:rFonts w:eastAsiaTheme="minorEastAsia"/>
                <w:i/>
                <w:sz w:val="20"/>
                <w:szCs w:val="20"/>
              </w:rPr>
              <w:t xml:space="preserve"> Courtney Diputado let us know we have until May 1</w:t>
            </w:r>
            <w:r w:rsidR="00DA7FDA">
              <w:rPr>
                <w:rFonts w:eastAsiaTheme="minorEastAsia"/>
                <w:i/>
                <w:sz w:val="20"/>
                <w:szCs w:val="20"/>
              </w:rPr>
              <w:t>0</w:t>
            </w:r>
            <w:r w:rsidR="00D46A31">
              <w:rPr>
                <w:rFonts w:eastAsiaTheme="minorEastAsia"/>
                <w:i/>
                <w:sz w:val="20"/>
                <w:szCs w:val="20"/>
              </w:rPr>
              <w:t xml:space="preserve"> for Early Bird </w:t>
            </w:r>
            <w:r w:rsidR="0099308C">
              <w:rPr>
                <w:rFonts w:eastAsiaTheme="minorEastAsia"/>
                <w:i/>
                <w:sz w:val="20"/>
                <w:szCs w:val="20"/>
              </w:rPr>
              <w:t xml:space="preserve">pricing. The </w:t>
            </w:r>
            <w:r w:rsidR="001E10BC">
              <w:rPr>
                <w:rFonts w:eastAsiaTheme="minorEastAsia"/>
                <w:i/>
                <w:sz w:val="20"/>
                <w:szCs w:val="20"/>
              </w:rPr>
              <w:t>committee</w:t>
            </w:r>
            <w:r w:rsidR="00027DDE">
              <w:rPr>
                <w:rFonts w:eastAsiaTheme="minorEastAsia"/>
                <w:i/>
                <w:sz w:val="20"/>
                <w:szCs w:val="20"/>
              </w:rPr>
              <w:t xml:space="preserve"> discussed how to prioritize team membership</w:t>
            </w:r>
            <w:r w:rsidR="00AD7F96">
              <w:rPr>
                <w:rFonts w:eastAsiaTheme="minorEastAsia"/>
                <w:i/>
                <w:sz w:val="20"/>
                <w:szCs w:val="20"/>
              </w:rPr>
              <w:t xml:space="preserve"> including Distance Ed and </w:t>
            </w:r>
            <w:r w:rsidR="00A37CE5">
              <w:rPr>
                <w:rFonts w:eastAsiaTheme="minorEastAsia"/>
                <w:i/>
                <w:sz w:val="20"/>
                <w:szCs w:val="20"/>
              </w:rPr>
              <w:t>departments (Social Science) that are mostly online.</w:t>
            </w:r>
            <w:r w:rsidR="004000B2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="00DE0A96">
              <w:rPr>
                <w:rFonts w:eastAsiaTheme="minorEastAsia"/>
                <w:i/>
                <w:sz w:val="20"/>
                <w:szCs w:val="20"/>
              </w:rPr>
              <w:t>Per Natalie Hannum, d</w:t>
            </w:r>
            <w:r w:rsidR="004000B2">
              <w:rPr>
                <w:rFonts w:eastAsiaTheme="minorEastAsia"/>
                <w:i/>
                <w:sz w:val="20"/>
                <w:szCs w:val="20"/>
              </w:rPr>
              <w:t xml:space="preserve">epartments </w:t>
            </w:r>
            <w:r w:rsidR="00A674D5">
              <w:rPr>
                <w:rFonts w:eastAsiaTheme="minorEastAsia"/>
                <w:i/>
                <w:sz w:val="20"/>
                <w:szCs w:val="20"/>
              </w:rPr>
              <w:t>can determine if they have part-time faculty that should be prioritized.</w:t>
            </w:r>
            <w:r w:rsidR="00C414F6">
              <w:rPr>
                <w:rFonts w:eastAsiaTheme="minorEastAsia"/>
                <w:i/>
                <w:sz w:val="20"/>
                <w:szCs w:val="20"/>
              </w:rPr>
              <w:t xml:space="preserve"> Robert Delgado </w:t>
            </w:r>
            <w:r w:rsidR="001E10BC">
              <w:rPr>
                <w:rFonts w:eastAsiaTheme="minorEastAsia"/>
                <w:i/>
                <w:sz w:val="20"/>
                <w:szCs w:val="20"/>
              </w:rPr>
              <w:t>note</w:t>
            </w:r>
            <w:r w:rsidR="003C3349">
              <w:rPr>
                <w:rFonts w:eastAsiaTheme="minorEastAsia"/>
                <w:i/>
                <w:sz w:val="20"/>
                <w:szCs w:val="20"/>
              </w:rPr>
              <w:t xml:space="preserve">d we can use a Google form and add questions to help prioritize. </w:t>
            </w:r>
            <w:r w:rsidR="00CE043F">
              <w:rPr>
                <w:rFonts w:eastAsiaTheme="minorEastAsia"/>
                <w:i/>
                <w:sz w:val="20"/>
                <w:szCs w:val="20"/>
              </w:rPr>
              <w:t xml:space="preserve">Courtney Diputado </w:t>
            </w:r>
            <w:r w:rsidR="0099308C">
              <w:rPr>
                <w:rFonts w:eastAsiaTheme="minorEastAsia"/>
                <w:i/>
                <w:sz w:val="20"/>
                <w:szCs w:val="20"/>
              </w:rPr>
              <w:t xml:space="preserve">recommended funding of Pre-conference workshops. </w:t>
            </w:r>
            <w:r w:rsidR="00755F84">
              <w:rPr>
                <w:rFonts w:eastAsiaTheme="minorEastAsia"/>
                <w:i/>
                <w:sz w:val="20"/>
                <w:szCs w:val="20"/>
              </w:rPr>
              <w:t>S</w:t>
            </w:r>
            <w:r w:rsidR="0099308C">
              <w:rPr>
                <w:rFonts w:eastAsiaTheme="minorEastAsia"/>
                <w:i/>
                <w:sz w:val="20"/>
                <w:szCs w:val="20"/>
              </w:rPr>
              <w:t xml:space="preserve">he </w:t>
            </w:r>
            <w:r w:rsidR="00CE043F">
              <w:rPr>
                <w:rFonts w:eastAsiaTheme="minorEastAsia"/>
                <w:i/>
                <w:sz w:val="20"/>
                <w:szCs w:val="20"/>
              </w:rPr>
              <w:t xml:space="preserve">also mentioned </w:t>
            </w:r>
            <w:r w:rsidR="00755F84">
              <w:rPr>
                <w:rFonts w:eastAsiaTheme="minorEastAsia"/>
                <w:i/>
                <w:sz w:val="20"/>
                <w:szCs w:val="20"/>
              </w:rPr>
              <w:t>including Classified and Student Services personnel as the conference usually has offering in the areas of student services and outreach.</w:t>
            </w:r>
            <w:r w:rsidR="000070C3">
              <w:rPr>
                <w:rFonts w:eastAsiaTheme="minorEastAsia"/>
                <w:i/>
                <w:sz w:val="20"/>
                <w:szCs w:val="20"/>
              </w:rPr>
              <w:t xml:space="preserve"> Google form will go out </w:t>
            </w:r>
            <w:r w:rsidR="00F563CB">
              <w:rPr>
                <w:rFonts w:eastAsiaTheme="minorEastAsia"/>
                <w:i/>
                <w:sz w:val="20"/>
                <w:szCs w:val="20"/>
              </w:rPr>
              <w:t>before the next meeting.</w:t>
            </w:r>
          </w:p>
          <w:p w14:paraId="53CB2AE6" w14:textId="3D4B6FCF" w:rsidR="00F563CB" w:rsidRDefault="00F563CB" w:rsidP="000070C3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Great Deans Program for early Deans. </w:t>
            </w:r>
            <w:r w:rsidR="00CF5804">
              <w:rPr>
                <w:rFonts w:eastAsiaTheme="minorEastAsia"/>
                <w:i/>
                <w:sz w:val="20"/>
                <w:szCs w:val="20"/>
              </w:rPr>
              <w:t xml:space="preserve">July 19-21, </w:t>
            </w:r>
            <w:r w:rsidR="00EA0DDE">
              <w:rPr>
                <w:rFonts w:eastAsiaTheme="minorEastAsia"/>
                <w:i/>
                <w:sz w:val="20"/>
                <w:szCs w:val="20"/>
              </w:rPr>
              <w:t>2023,</w:t>
            </w:r>
            <w:r w:rsidR="00CF5804">
              <w:rPr>
                <w:rFonts w:eastAsiaTheme="minorEastAsia"/>
                <w:i/>
                <w:sz w:val="20"/>
                <w:szCs w:val="20"/>
              </w:rPr>
              <w:t xml:space="preserve"> Rosa Armendariz seeking PDAC’s endorsement to send a team to this conference. </w:t>
            </w:r>
            <w:r w:rsidR="00F774FA">
              <w:rPr>
                <w:rFonts w:eastAsiaTheme="minorEastAsia"/>
                <w:i/>
                <w:sz w:val="20"/>
                <w:szCs w:val="20"/>
              </w:rPr>
              <w:t>Natalie Hannum suggested sending potential deans such as department chair</w:t>
            </w:r>
            <w:r w:rsidR="00481466">
              <w:rPr>
                <w:rFonts w:eastAsiaTheme="minorEastAsia"/>
                <w:i/>
                <w:sz w:val="20"/>
                <w:szCs w:val="20"/>
              </w:rPr>
              <w:t>s.</w:t>
            </w:r>
          </w:p>
          <w:p w14:paraId="120DDE1F" w14:textId="100DDF42" w:rsidR="002447AB" w:rsidRDefault="003B4484" w:rsidP="000070C3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Rosa Armendariz noted </w:t>
            </w:r>
            <w:r w:rsidR="00F774FA">
              <w:rPr>
                <w:rFonts w:eastAsiaTheme="minorEastAsia"/>
                <w:i/>
                <w:sz w:val="20"/>
                <w:szCs w:val="20"/>
              </w:rPr>
              <w:t xml:space="preserve">future conversation on </w:t>
            </w:r>
            <w:r w:rsidR="002447AB">
              <w:rPr>
                <w:rFonts w:eastAsiaTheme="minorEastAsia"/>
                <w:i/>
                <w:sz w:val="20"/>
                <w:szCs w:val="20"/>
              </w:rPr>
              <w:t xml:space="preserve">how to build out professional development and take full advantage of </w:t>
            </w:r>
            <w:r w:rsidR="00EA0DDE">
              <w:rPr>
                <w:rFonts w:eastAsiaTheme="minorEastAsia"/>
                <w:i/>
                <w:sz w:val="20"/>
                <w:szCs w:val="20"/>
              </w:rPr>
              <w:t xml:space="preserve">ACA and GROW. </w:t>
            </w:r>
          </w:p>
          <w:p w14:paraId="444C4182" w14:textId="22EC24B7" w:rsidR="00506E86" w:rsidRDefault="00176936" w:rsidP="000070C3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i/>
                <w:sz w:val="20"/>
                <w:szCs w:val="20"/>
              </w:rPr>
              <w:t>InstructureCon</w:t>
            </w:r>
            <w:proofErr w:type="spellEnd"/>
            <w:r>
              <w:rPr>
                <w:rFonts w:eastAsiaTheme="minorEastAsia"/>
                <w:i/>
                <w:sz w:val="20"/>
                <w:szCs w:val="20"/>
              </w:rPr>
              <w:t xml:space="preserve"> is the Canvas conference in the summer. </w:t>
            </w:r>
            <w:r w:rsidR="00D923C4">
              <w:rPr>
                <w:rFonts w:eastAsiaTheme="minorEastAsia"/>
                <w:i/>
                <w:sz w:val="20"/>
                <w:szCs w:val="20"/>
              </w:rPr>
              <w:t>Courtney Diputado recommends sending faculty.</w:t>
            </w:r>
            <w:r w:rsidR="0060672D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="007B68C9">
              <w:rPr>
                <w:rFonts w:eastAsiaTheme="minorEastAsia"/>
                <w:i/>
                <w:sz w:val="20"/>
                <w:szCs w:val="20"/>
              </w:rPr>
              <w:t xml:space="preserve">Natalie Hannum noted most of our distance ed funding </w:t>
            </w:r>
            <w:r w:rsidR="008F471B">
              <w:rPr>
                <w:rFonts w:eastAsiaTheme="minorEastAsia"/>
                <w:i/>
                <w:sz w:val="20"/>
                <w:szCs w:val="20"/>
              </w:rPr>
              <w:t>was paid by CARES or CVC-OEI. There is no separate funding for distance ed</w:t>
            </w:r>
            <w:r w:rsidR="002A3683">
              <w:rPr>
                <w:rFonts w:eastAsiaTheme="minorEastAsia"/>
                <w:i/>
                <w:sz w:val="20"/>
                <w:szCs w:val="20"/>
              </w:rPr>
              <w:t xml:space="preserve"> and future professional development would come from existing funding.</w:t>
            </w:r>
          </w:p>
          <w:p w14:paraId="04FF1C7B" w14:textId="77777777" w:rsidR="00506E86" w:rsidRPr="00506E86" w:rsidRDefault="00506E86" w:rsidP="00506E86">
            <w:pPr>
              <w:rPr>
                <w:rFonts w:eastAsiaTheme="minorEastAsia"/>
                <w:i/>
                <w:sz w:val="20"/>
                <w:szCs w:val="20"/>
              </w:rPr>
            </w:pPr>
          </w:p>
          <w:p w14:paraId="6547437A" w14:textId="77777777" w:rsidR="003D02F8" w:rsidRDefault="003D02F8" w:rsidP="003D02F8">
            <w:pPr>
              <w:rPr>
                <w:rFonts w:eastAsiaTheme="minorEastAsia"/>
                <w:i/>
                <w:sz w:val="20"/>
                <w:szCs w:val="20"/>
              </w:rPr>
            </w:pPr>
          </w:p>
          <w:p w14:paraId="35DB48E8" w14:textId="77777777" w:rsidR="003D02F8" w:rsidRPr="003D02F8" w:rsidRDefault="003D02F8" w:rsidP="003D02F8">
            <w:pPr>
              <w:rPr>
                <w:rFonts w:eastAsiaTheme="minorEastAsia"/>
                <w:i/>
                <w:sz w:val="20"/>
                <w:szCs w:val="20"/>
              </w:rPr>
            </w:pPr>
          </w:p>
          <w:p w14:paraId="1402806A" w14:textId="436E53BE" w:rsidR="00B845A1" w:rsidRPr="009D3D70" w:rsidRDefault="00B845A1" w:rsidP="00A05660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4DDF8E" w14:textId="0EE5072D" w:rsidR="00B845A1" w:rsidRDefault="00B845A1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  <w:p w14:paraId="3F051649" w14:textId="3869D59C" w:rsidR="00B845A1" w:rsidRDefault="00B845A1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34B5B4" w14:textId="7D8E27AA" w:rsidR="00B845A1" w:rsidRDefault="00B845A1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845A1" w:rsidRPr="0037416D" w14:paraId="64D9DCBC" w14:textId="77777777" w:rsidTr="00B845A1">
        <w:trPr>
          <w:trHeight w:val="596"/>
        </w:trPr>
        <w:tc>
          <w:tcPr>
            <w:tcW w:w="9285" w:type="dxa"/>
            <w:tcBorders>
              <w:bottom w:val="single" w:sz="4" w:space="0" w:color="auto"/>
            </w:tcBorders>
          </w:tcPr>
          <w:p w14:paraId="1BFCDDFC" w14:textId="13C49178" w:rsidR="00A05660" w:rsidRPr="00A05660" w:rsidRDefault="00A05660" w:rsidP="00A0566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Cs/>
                <w:sz w:val="20"/>
                <w:szCs w:val="20"/>
              </w:rPr>
            </w:pPr>
            <w:r w:rsidRPr="00A05660">
              <w:rPr>
                <w:rFonts w:eastAsiaTheme="minorEastAsia"/>
                <w:iCs/>
                <w:sz w:val="20"/>
                <w:szCs w:val="20"/>
              </w:rPr>
              <w:lastRenderedPageBreak/>
              <w:t>Technology PD Needs</w:t>
            </w:r>
          </w:p>
          <w:p w14:paraId="32F27EF2" w14:textId="471CC896" w:rsidR="00A05660" w:rsidRDefault="006F2D39" w:rsidP="00C90E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Delgado demonstrated how to create a playlist on GROW of professional development activities. </w:t>
            </w:r>
            <w:r w:rsidR="000005E1">
              <w:rPr>
                <w:sz w:val="20"/>
                <w:szCs w:val="20"/>
              </w:rPr>
              <w:t xml:space="preserve">James Kolthoff sees a need for GROW, Adobe and using LMC specific technology such as wi-fi, </w:t>
            </w:r>
            <w:r w:rsidR="006D30DB">
              <w:rPr>
                <w:sz w:val="20"/>
                <w:szCs w:val="20"/>
              </w:rPr>
              <w:t xml:space="preserve">Google authenticator where a playlist would be useful. </w:t>
            </w:r>
            <w:r w:rsidR="008A6E22">
              <w:rPr>
                <w:sz w:val="20"/>
                <w:szCs w:val="20"/>
              </w:rPr>
              <w:t xml:space="preserve">Natalie Hannum recommends reaching out to Leetha </w:t>
            </w:r>
            <w:r w:rsidR="00967155">
              <w:rPr>
                <w:sz w:val="20"/>
                <w:szCs w:val="20"/>
              </w:rPr>
              <w:t>Robertson</w:t>
            </w:r>
            <w:r w:rsidR="003E44BE">
              <w:rPr>
                <w:sz w:val="20"/>
                <w:szCs w:val="20"/>
              </w:rPr>
              <w:t xml:space="preserve"> and Beth Ann Stone</w:t>
            </w:r>
            <w:r w:rsidR="008A6E22">
              <w:rPr>
                <w:sz w:val="20"/>
                <w:szCs w:val="20"/>
              </w:rPr>
              <w:t xml:space="preserve"> </w:t>
            </w:r>
            <w:r w:rsidR="003E44BE">
              <w:rPr>
                <w:sz w:val="20"/>
                <w:szCs w:val="20"/>
              </w:rPr>
              <w:t>to help inform the process for our senior admins.</w:t>
            </w:r>
            <w:r w:rsidR="000B130D">
              <w:rPr>
                <w:sz w:val="20"/>
                <w:szCs w:val="20"/>
              </w:rPr>
              <w:t xml:space="preserve"> </w:t>
            </w:r>
            <w:r w:rsidR="00C85755">
              <w:rPr>
                <w:sz w:val="20"/>
                <w:szCs w:val="20"/>
              </w:rPr>
              <w:t>Next steps</w:t>
            </w:r>
            <w:r w:rsidR="00702F12">
              <w:rPr>
                <w:sz w:val="20"/>
                <w:szCs w:val="20"/>
              </w:rPr>
              <w:t xml:space="preserve">: connect with groups that already exist on campus, look at GROW for training opportunities </w:t>
            </w:r>
            <w:r w:rsidR="0009391B">
              <w:rPr>
                <w:sz w:val="20"/>
                <w:szCs w:val="20"/>
              </w:rPr>
              <w:t>including LMC specific items</w:t>
            </w:r>
            <w:r w:rsidR="00AB2B74">
              <w:rPr>
                <w:sz w:val="20"/>
                <w:szCs w:val="20"/>
              </w:rPr>
              <w:t>.</w:t>
            </w:r>
            <w:r w:rsidR="004E388B">
              <w:rPr>
                <w:sz w:val="20"/>
                <w:szCs w:val="20"/>
              </w:rPr>
              <w:t xml:space="preserve"> </w:t>
            </w:r>
            <w:r w:rsidR="00037B8D">
              <w:rPr>
                <w:sz w:val="20"/>
                <w:szCs w:val="20"/>
              </w:rPr>
              <w:t>LMC IT has resources that can be integrated. We may need to create videos specific to LMC.</w:t>
            </w:r>
          </w:p>
          <w:p w14:paraId="77A4F9CA" w14:textId="16B55D29" w:rsidR="004E3E69" w:rsidRPr="008A6E22" w:rsidRDefault="00B845A1" w:rsidP="008A6E2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14:paraId="16272AE3" w14:textId="55F1804E" w:rsidR="004E3E69" w:rsidRDefault="004E3E69" w:rsidP="004E3E69">
            <w:pPr>
              <w:pStyle w:val="ListParagraph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new </w:t>
            </w:r>
            <w:r w:rsidR="000005E1">
              <w:rPr>
                <w:sz w:val="20"/>
                <w:szCs w:val="20"/>
              </w:rPr>
              <w:t>requests</w:t>
            </w:r>
          </w:p>
          <w:p w14:paraId="5BF7D126" w14:textId="4DDC6F31" w:rsidR="006C637D" w:rsidRPr="00003B7A" w:rsidRDefault="004E3E69" w:rsidP="00003B7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Snow</w:t>
            </w:r>
            <w:r w:rsidR="006C637D" w:rsidRPr="00003B7A">
              <w:rPr>
                <w:i/>
                <w:sz w:val="20"/>
                <w:szCs w:val="20"/>
              </w:rPr>
              <w:t xml:space="preserve"> </w:t>
            </w:r>
          </w:p>
          <w:p w14:paraId="686C9CCC" w14:textId="58640532" w:rsidR="006C637D" w:rsidRDefault="00003B7A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California Conference for the Advancement of Ceramic Art</w:t>
            </w:r>
            <w:r w:rsidR="006C637D" w:rsidRPr="00E069C5">
              <w:rPr>
                <w:i/>
                <w:sz w:val="20"/>
                <w:szCs w:val="20"/>
              </w:rPr>
              <w:t xml:space="preserve"> </w:t>
            </w:r>
          </w:p>
          <w:p w14:paraId="0B94A258" w14:textId="77777777" w:rsidR="00E4159A" w:rsidRPr="00E069C5" w:rsidRDefault="00E4159A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</w:p>
          <w:p w14:paraId="7CCCA834" w14:textId="7E982CF9" w:rsidR="006C637D" w:rsidRPr="00E069C5" w:rsidRDefault="00902C2A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Erlinda Jones</w:t>
            </w:r>
            <w:r w:rsidR="006C637D" w:rsidRPr="00E069C5">
              <w:rPr>
                <w:i/>
                <w:sz w:val="20"/>
                <w:szCs w:val="20"/>
              </w:rPr>
              <w:t xml:space="preserve"> motions to approve, </w:t>
            </w:r>
            <w:r>
              <w:rPr>
                <w:i/>
                <w:sz w:val="20"/>
                <w:szCs w:val="20"/>
              </w:rPr>
              <w:t>Courtney Diputado</w:t>
            </w:r>
            <w:r w:rsidR="006C637D" w:rsidRPr="00E069C5">
              <w:rPr>
                <w:i/>
                <w:sz w:val="20"/>
                <w:szCs w:val="20"/>
              </w:rPr>
              <w:t xml:space="preserve"> second, all in favor. </w:t>
            </w:r>
          </w:p>
          <w:p w14:paraId="75EBF9A1" w14:textId="75AFC2FD" w:rsidR="0085311D" w:rsidRDefault="00331759" w:rsidP="00A0566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Bassett</w:t>
            </w:r>
          </w:p>
          <w:p w14:paraId="1E190085" w14:textId="5BDBC906" w:rsidR="006A3BB8" w:rsidRDefault="00E72F63" w:rsidP="00E72F63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California Conference for the Advancement of Ceramic Art</w:t>
            </w:r>
            <w:r w:rsidRPr="00E069C5">
              <w:rPr>
                <w:i/>
                <w:sz w:val="20"/>
                <w:szCs w:val="20"/>
              </w:rPr>
              <w:t xml:space="preserve"> </w:t>
            </w:r>
          </w:p>
          <w:p w14:paraId="4C430883" w14:textId="1FCD7A2F" w:rsidR="00FD6EB2" w:rsidRPr="00E72F63" w:rsidRDefault="00FD6EB2" w:rsidP="00E72F63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Same conference 2 days</w:t>
            </w:r>
            <w:r w:rsidR="003963F9">
              <w:rPr>
                <w:i/>
                <w:sz w:val="20"/>
                <w:szCs w:val="20"/>
              </w:rPr>
              <w:t xml:space="preserve">. Rosa </w:t>
            </w:r>
            <w:r w:rsidR="00F578A2">
              <w:rPr>
                <w:i/>
                <w:sz w:val="20"/>
                <w:szCs w:val="20"/>
              </w:rPr>
              <w:t>Armendariz</w:t>
            </w:r>
            <w:r w:rsidR="003963F9">
              <w:rPr>
                <w:i/>
                <w:sz w:val="20"/>
                <w:szCs w:val="20"/>
              </w:rPr>
              <w:t xml:space="preserve"> clarified that overnight requests are </w:t>
            </w:r>
            <w:r w:rsidR="00F578A2">
              <w:rPr>
                <w:i/>
                <w:sz w:val="20"/>
                <w:szCs w:val="20"/>
              </w:rPr>
              <w:t>reviewed individually (distance, agenda).</w:t>
            </w:r>
          </w:p>
          <w:p w14:paraId="47B3D151" w14:textId="7D6DDAD1" w:rsidR="006A3BB8" w:rsidRPr="00E069C5" w:rsidRDefault="00F04A5C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Natalie Hannum</w:t>
            </w:r>
            <w:r w:rsidR="006A3BB8" w:rsidRPr="00E069C5">
              <w:rPr>
                <w:i/>
                <w:sz w:val="20"/>
                <w:szCs w:val="20"/>
              </w:rPr>
              <w:t xml:space="preserve"> motions to approve</w:t>
            </w:r>
            <w:r>
              <w:rPr>
                <w:i/>
                <w:sz w:val="20"/>
                <w:szCs w:val="20"/>
              </w:rPr>
              <w:t xml:space="preserve"> to fund one night</w:t>
            </w:r>
            <w:r w:rsidR="006A3BB8" w:rsidRPr="00E069C5">
              <w:rPr>
                <w:i/>
                <w:sz w:val="20"/>
                <w:szCs w:val="20"/>
              </w:rPr>
              <w:t xml:space="preserve">, Erlinda Jones second, all in favor. </w:t>
            </w:r>
          </w:p>
          <w:p w14:paraId="6E685304" w14:textId="492E988B" w:rsidR="0085311D" w:rsidRDefault="00D96145" w:rsidP="00A0566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Lucca</w:t>
            </w:r>
          </w:p>
          <w:p w14:paraId="6C5C0B2A" w14:textId="4566C16A" w:rsidR="006A3BB8" w:rsidRPr="003B7A81" w:rsidRDefault="00C12070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Online Teaching Conference</w:t>
            </w:r>
          </w:p>
          <w:p w14:paraId="15716F56" w14:textId="573040EF" w:rsidR="003B7A81" w:rsidRDefault="00792078" w:rsidP="00A05660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Natalie Hannum suggested confirming with </w:t>
            </w:r>
            <w:r w:rsidR="004A5CDB">
              <w:rPr>
                <w:i/>
                <w:sz w:val="20"/>
                <w:szCs w:val="20"/>
              </w:rPr>
              <w:t xml:space="preserve">her </w:t>
            </w:r>
            <w:r w:rsidR="0039399D">
              <w:rPr>
                <w:i/>
                <w:sz w:val="20"/>
                <w:szCs w:val="20"/>
              </w:rPr>
              <w:t>Dean</w:t>
            </w:r>
            <w:r w:rsidR="004A5CDB">
              <w:rPr>
                <w:i/>
                <w:sz w:val="20"/>
                <w:szCs w:val="20"/>
              </w:rPr>
              <w:t xml:space="preserve"> that she is available and the online conference </w:t>
            </w:r>
            <w:r w:rsidR="0039399D">
              <w:rPr>
                <w:i/>
                <w:sz w:val="20"/>
                <w:szCs w:val="20"/>
              </w:rPr>
              <w:t>appropriate for her scope of work.</w:t>
            </w:r>
            <w:r w:rsidR="00AF5CE7">
              <w:rPr>
                <w:i/>
                <w:sz w:val="20"/>
                <w:szCs w:val="20"/>
              </w:rPr>
              <w:t xml:space="preserve"> </w:t>
            </w:r>
          </w:p>
          <w:p w14:paraId="6DDB47FA" w14:textId="46CF0A31" w:rsidR="001D2B72" w:rsidRDefault="001D2B72" w:rsidP="001D2B72">
            <w:pPr>
              <w:pStyle w:val="ListParagraph"/>
              <w:numPr>
                <w:ilvl w:val="1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on last month’s Conference Funding Recommendations</w:t>
            </w:r>
          </w:p>
          <w:p w14:paraId="07CF7146" w14:textId="5A5381CF" w:rsidR="006B7601" w:rsidRDefault="006B7601" w:rsidP="006B7601">
            <w:pPr>
              <w:pStyle w:val="ListParagraph"/>
              <w:ind w:left="14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Danielle Murphy never replied to Rober</w:t>
            </w:r>
            <w:r w:rsidR="0070107E">
              <w:rPr>
                <w:i/>
                <w:sz w:val="20"/>
                <w:szCs w:val="20"/>
              </w:rPr>
              <w:t xml:space="preserve">t 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Delgado’s communication.</w:t>
            </w:r>
          </w:p>
          <w:p w14:paraId="6CC3829C" w14:textId="2A7963CC" w:rsidR="006B7601" w:rsidRDefault="006B7601" w:rsidP="006B7601">
            <w:pPr>
              <w:pStyle w:val="ListParagraph"/>
              <w:ind w:left="14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Rosa Armendariz noted that the forms and </w:t>
            </w:r>
            <w:r w:rsidR="00DE0780">
              <w:rPr>
                <w:i/>
                <w:sz w:val="20"/>
                <w:szCs w:val="20"/>
              </w:rPr>
              <w:t xml:space="preserve">process need updating with dates to submit funding requests so that they are reviewed in a timely manner. We looked at </w:t>
            </w:r>
            <w:r w:rsidR="005F2207">
              <w:rPr>
                <w:i/>
                <w:sz w:val="20"/>
                <w:szCs w:val="20"/>
              </w:rPr>
              <w:t xml:space="preserve">a draft calendar where </w:t>
            </w:r>
            <w:r w:rsidR="00F320DE">
              <w:rPr>
                <w:i/>
                <w:sz w:val="20"/>
                <w:szCs w:val="20"/>
              </w:rPr>
              <w:t xml:space="preserve">funding </w:t>
            </w:r>
            <w:r w:rsidR="005F2207">
              <w:rPr>
                <w:i/>
                <w:sz w:val="20"/>
                <w:szCs w:val="20"/>
              </w:rPr>
              <w:t>requests are submitted one week before the PDAC meeting</w:t>
            </w:r>
            <w:r w:rsidR="00F320DE">
              <w:rPr>
                <w:i/>
                <w:sz w:val="20"/>
                <w:szCs w:val="20"/>
              </w:rPr>
              <w:t>.</w:t>
            </w:r>
            <w:r w:rsidR="0014373B">
              <w:rPr>
                <w:i/>
                <w:sz w:val="20"/>
                <w:szCs w:val="20"/>
              </w:rPr>
              <w:t xml:space="preserve"> </w:t>
            </w:r>
            <w:r w:rsidR="00DC28DB">
              <w:rPr>
                <w:i/>
                <w:sz w:val="20"/>
                <w:szCs w:val="20"/>
              </w:rPr>
              <w:t xml:space="preserve">Erlinda Jones moved to approve the </w:t>
            </w:r>
            <w:r w:rsidR="00CC33C2">
              <w:rPr>
                <w:i/>
                <w:sz w:val="20"/>
                <w:szCs w:val="20"/>
              </w:rPr>
              <w:t xml:space="preserve">calendar for funding </w:t>
            </w:r>
            <w:r w:rsidR="0060398D">
              <w:rPr>
                <w:i/>
                <w:sz w:val="20"/>
                <w:szCs w:val="20"/>
              </w:rPr>
              <w:t>request. Jill Buettner seconds. All in favor.</w:t>
            </w:r>
          </w:p>
          <w:p w14:paraId="3E088F6D" w14:textId="77777777" w:rsidR="0060398D" w:rsidRPr="001D2B72" w:rsidRDefault="0060398D" w:rsidP="006B7601">
            <w:pPr>
              <w:pStyle w:val="ListParagraph"/>
              <w:ind w:left="1440"/>
              <w:rPr>
                <w:i/>
                <w:sz w:val="20"/>
                <w:szCs w:val="20"/>
              </w:rPr>
            </w:pPr>
          </w:p>
          <w:p w14:paraId="160F9F3F" w14:textId="47F2EE04" w:rsidR="003B7A81" w:rsidRPr="003B7A81" w:rsidRDefault="003B7A81" w:rsidP="00A465B1">
            <w:pPr>
              <w:pStyle w:val="ListParagraph"/>
              <w:ind w:left="2160"/>
              <w:rPr>
                <w:i/>
                <w:sz w:val="20"/>
                <w:szCs w:val="20"/>
              </w:rPr>
            </w:pPr>
          </w:p>
          <w:p w14:paraId="4531B000" w14:textId="3B449D6C" w:rsidR="00B845A1" w:rsidRDefault="00B845A1" w:rsidP="00A0566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14:paraId="175702E9" w14:textId="741E8908" w:rsidR="00B845A1" w:rsidRPr="00EF78C4" w:rsidRDefault="00E17C9D" w:rsidP="00891B01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E22E3CA" w14:textId="77777777" w:rsidR="00B845A1" w:rsidRDefault="00B845A1" w:rsidP="006C637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71039F2F" w14:textId="77777777" w:rsidR="00B845A1" w:rsidRDefault="00B845A1" w:rsidP="006C637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B845A1" w:rsidRDefault="00B845A1" w:rsidP="005C235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D6DEE7A" w14:textId="24891549" w:rsidR="00B845A1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45A1" w:rsidRPr="0037416D" w14:paraId="47BCA68A" w14:textId="77777777" w:rsidTr="00B845A1">
        <w:trPr>
          <w:trHeight w:val="449"/>
        </w:trPr>
        <w:tc>
          <w:tcPr>
            <w:tcW w:w="9285" w:type="dxa"/>
          </w:tcPr>
          <w:p w14:paraId="38846FFE" w14:textId="7A1F07FC" w:rsidR="00B845A1" w:rsidRDefault="00B845A1" w:rsidP="00A05660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lastRenderedPageBreak/>
              <w:t xml:space="preserve">Staff Reports </w:t>
            </w:r>
          </w:p>
          <w:p w14:paraId="4F74C2A3" w14:textId="77777777" w:rsidR="00190C75" w:rsidRDefault="00190C75" w:rsidP="00190C75">
            <w:pPr>
              <w:rPr>
                <w:sz w:val="20"/>
                <w:szCs w:val="20"/>
              </w:rPr>
            </w:pPr>
          </w:p>
          <w:p w14:paraId="7060E8D1" w14:textId="77777777" w:rsidR="00190C75" w:rsidRDefault="00190C75" w:rsidP="00190C75">
            <w:pPr>
              <w:rPr>
                <w:sz w:val="20"/>
                <w:szCs w:val="20"/>
              </w:rPr>
            </w:pPr>
          </w:p>
          <w:p w14:paraId="71429AB0" w14:textId="32478A39" w:rsidR="00B845A1" w:rsidRDefault="00190C75" w:rsidP="00190C7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Jones motions to adjourn PDAC at 3:41 pm. James Kolthoff seconds</w:t>
            </w:r>
            <w:r w:rsidR="00D307D0" w:rsidRPr="00D307D0">
              <w:rPr>
                <w:i/>
                <w:sz w:val="20"/>
                <w:szCs w:val="20"/>
              </w:rPr>
              <w:t xml:space="preserve"> </w:t>
            </w:r>
          </w:p>
          <w:p w14:paraId="6543A1CE" w14:textId="7FEE3A61" w:rsidR="00190C75" w:rsidRPr="00190C75" w:rsidRDefault="00190C75" w:rsidP="00190C75">
            <w:pPr>
              <w:pStyle w:val="ListParagraph"/>
              <w:ind w:left="1440"/>
              <w:rPr>
                <w:i/>
                <w:sz w:val="20"/>
                <w:szCs w:val="20"/>
              </w:rPr>
            </w:pPr>
          </w:p>
        </w:tc>
        <w:tc>
          <w:tcPr>
            <w:tcW w:w="2943" w:type="dxa"/>
          </w:tcPr>
          <w:p w14:paraId="6EA33825" w14:textId="77777777" w:rsidR="00B845A1" w:rsidRPr="0037416D" w:rsidRDefault="00B845A1" w:rsidP="00633C4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6ADDB41" w14:textId="0CABB9C1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45A1" w:rsidRPr="0037416D" w14:paraId="732CDDB4" w14:textId="77777777" w:rsidTr="00B845A1">
        <w:trPr>
          <w:trHeight w:val="370"/>
        </w:trPr>
        <w:tc>
          <w:tcPr>
            <w:tcW w:w="9285" w:type="dxa"/>
          </w:tcPr>
          <w:p w14:paraId="2B4DE901" w14:textId="56E0F66B" w:rsidR="00B845A1" w:rsidRPr="005C2354" w:rsidRDefault="00D307D0" w:rsidP="005C23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Meeting</w:t>
            </w:r>
            <w:r w:rsidR="00B845A1" w:rsidRPr="005C2354">
              <w:rPr>
                <w:b/>
                <w:sz w:val="20"/>
                <w:szCs w:val="20"/>
              </w:rPr>
              <w:t xml:space="preserve">:  </w:t>
            </w:r>
            <w:r w:rsidR="00F320DE">
              <w:rPr>
                <w:b/>
                <w:sz w:val="20"/>
                <w:szCs w:val="20"/>
              </w:rPr>
              <w:t>April 27th</w:t>
            </w:r>
            <w:r w:rsidR="00B845A1">
              <w:rPr>
                <w:b/>
                <w:sz w:val="20"/>
                <w:szCs w:val="20"/>
              </w:rPr>
              <w:t>, 2023</w:t>
            </w:r>
          </w:p>
        </w:tc>
        <w:tc>
          <w:tcPr>
            <w:tcW w:w="2943" w:type="dxa"/>
          </w:tcPr>
          <w:p w14:paraId="66F0A247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88E729B" w14:textId="77777777" w:rsidR="00B845A1" w:rsidRDefault="00B845A1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B652F1" w:rsidRDefault="00DB7EF3" w:rsidP="00002414"/>
    <w:sectPr w:rsidR="00B652F1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4659" w14:textId="77777777" w:rsidR="00DB7EF3" w:rsidRDefault="00DB7EF3">
      <w:pPr>
        <w:spacing w:after="0" w:line="240" w:lineRule="auto"/>
      </w:pPr>
      <w:r>
        <w:separator/>
      </w:r>
    </w:p>
  </w:endnote>
  <w:endnote w:type="continuationSeparator" w:id="0">
    <w:p w14:paraId="1E7E0AEF" w14:textId="77777777" w:rsidR="00DB7EF3" w:rsidRDefault="00D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11FA" w14:textId="77777777" w:rsidR="00DB7EF3" w:rsidRDefault="00DB7EF3">
      <w:pPr>
        <w:spacing w:after="0" w:line="240" w:lineRule="auto"/>
      </w:pPr>
      <w:r>
        <w:separator/>
      </w:r>
    </w:p>
  </w:footnote>
  <w:footnote w:type="continuationSeparator" w:id="0">
    <w:p w14:paraId="5EB1D67D" w14:textId="77777777" w:rsidR="00DB7EF3" w:rsidRDefault="00DB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6941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690D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0769B"/>
    <w:multiLevelType w:val="hybridMultilevel"/>
    <w:tmpl w:val="FD228B6C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05E1"/>
    <w:rsid w:val="00002414"/>
    <w:rsid w:val="00003B7A"/>
    <w:rsid w:val="0000641F"/>
    <w:rsid w:val="000067EC"/>
    <w:rsid w:val="000070C3"/>
    <w:rsid w:val="000164A0"/>
    <w:rsid w:val="000220AE"/>
    <w:rsid w:val="00027DDE"/>
    <w:rsid w:val="00037B8D"/>
    <w:rsid w:val="000565D6"/>
    <w:rsid w:val="00063D04"/>
    <w:rsid w:val="000666FC"/>
    <w:rsid w:val="0009391B"/>
    <w:rsid w:val="000A29C5"/>
    <w:rsid w:val="000B130D"/>
    <w:rsid w:val="000E08C9"/>
    <w:rsid w:val="000E647E"/>
    <w:rsid w:val="00100348"/>
    <w:rsid w:val="0014373B"/>
    <w:rsid w:val="0017031F"/>
    <w:rsid w:val="00176936"/>
    <w:rsid w:val="00190C75"/>
    <w:rsid w:val="001D0E9A"/>
    <w:rsid w:val="001D2B72"/>
    <w:rsid w:val="001E10BC"/>
    <w:rsid w:val="0020066F"/>
    <w:rsid w:val="002069AC"/>
    <w:rsid w:val="002447AB"/>
    <w:rsid w:val="00255CB4"/>
    <w:rsid w:val="00274B35"/>
    <w:rsid w:val="0029218E"/>
    <w:rsid w:val="002944F3"/>
    <w:rsid w:val="00296ACE"/>
    <w:rsid w:val="002A3683"/>
    <w:rsid w:val="002C6520"/>
    <w:rsid w:val="003170A8"/>
    <w:rsid w:val="00331759"/>
    <w:rsid w:val="00344E83"/>
    <w:rsid w:val="00354B84"/>
    <w:rsid w:val="00360344"/>
    <w:rsid w:val="00370091"/>
    <w:rsid w:val="0037416D"/>
    <w:rsid w:val="00377652"/>
    <w:rsid w:val="0039399D"/>
    <w:rsid w:val="003963F9"/>
    <w:rsid w:val="003A5400"/>
    <w:rsid w:val="003B4484"/>
    <w:rsid w:val="003B7A81"/>
    <w:rsid w:val="003C3349"/>
    <w:rsid w:val="003D02F8"/>
    <w:rsid w:val="003D7B2F"/>
    <w:rsid w:val="003E361B"/>
    <w:rsid w:val="003E44BE"/>
    <w:rsid w:val="004000B2"/>
    <w:rsid w:val="004308A4"/>
    <w:rsid w:val="004635D0"/>
    <w:rsid w:val="00481466"/>
    <w:rsid w:val="004824F0"/>
    <w:rsid w:val="0049713E"/>
    <w:rsid w:val="004A5CDB"/>
    <w:rsid w:val="004C7FDC"/>
    <w:rsid w:val="004E388B"/>
    <w:rsid w:val="004E3BDF"/>
    <w:rsid w:val="004E3E69"/>
    <w:rsid w:val="004F2251"/>
    <w:rsid w:val="00506E86"/>
    <w:rsid w:val="005177C0"/>
    <w:rsid w:val="00537B50"/>
    <w:rsid w:val="00552011"/>
    <w:rsid w:val="005562E0"/>
    <w:rsid w:val="00562DB7"/>
    <w:rsid w:val="00563BE2"/>
    <w:rsid w:val="005A6262"/>
    <w:rsid w:val="005C1967"/>
    <w:rsid w:val="005C2354"/>
    <w:rsid w:val="005D1E48"/>
    <w:rsid w:val="005F20BA"/>
    <w:rsid w:val="005F2207"/>
    <w:rsid w:val="005F2B80"/>
    <w:rsid w:val="0060398D"/>
    <w:rsid w:val="0060672D"/>
    <w:rsid w:val="00614537"/>
    <w:rsid w:val="00633C45"/>
    <w:rsid w:val="00646FC9"/>
    <w:rsid w:val="00653AD4"/>
    <w:rsid w:val="00671FE7"/>
    <w:rsid w:val="006A0CC3"/>
    <w:rsid w:val="006A3BB8"/>
    <w:rsid w:val="006B5E2E"/>
    <w:rsid w:val="006B7601"/>
    <w:rsid w:val="006C5843"/>
    <w:rsid w:val="006C637D"/>
    <w:rsid w:val="006D30DB"/>
    <w:rsid w:val="006D38A1"/>
    <w:rsid w:val="006F2D39"/>
    <w:rsid w:val="0070107E"/>
    <w:rsid w:val="00702F12"/>
    <w:rsid w:val="00711FFC"/>
    <w:rsid w:val="00715764"/>
    <w:rsid w:val="0075001F"/>
    <w:rsid w:val="00755F84"/>
    <w:rsid w:val="0076379F"/>
    <w:rsid w:val="00783C3A"/>
    <w:rsid w:val="00792078"/>
    <w:rsid w:val="0079318C"/>
    <w:rsid w:val="007B68C9"/>
    <w:rsid w:val="007C5F2C"/>
    <w:rsid w:val="007D22EA"/>
    <w:rsid w:val="007F33E9"/>
    <w:rsid w:val="00820032"/>
    <w:rsid w:val="0085311D"/>
    <w:rsid w:val="0086189B"/>
    <w:rsid w:val="00891B01"/>
    <w:rsid w:val="008A31B4"/>
    <w:rsid w:val="008A6E22"/>
    <w:rsid w:val="008D30C1"/>
    <w:rsid w:val="008F471B"/>
    <w:rsid w:val="00902C2A"/>
    <w:rsid w:val="009631FD"/>
    <w:rsid w:val="00967155"/>
    <w:rsid w:val="009708C9"/>
    <w:rsid w:val="009916FF"/>
    <w:rsid w:val="0099308C"/>
    <w:rsid w:val="009A084A"/>
    <w:rsid w:val="009C1567"/>
    <w:rsid w:val="009C7BBE"/>
    <w:rsid w:val="009D3D70"/>
    <w:rsid w:val="009E5459"/>
    <w:rsid w:val="009F6BFC"/>
    <w:rsid w:val="00A05660"/>
    <w:rsid w:val="00A07834"/>
    <w:rsid w:val="00A16030"/>
    <w:rsid w:val="00A2351A"/>
    <w:rsid w:val="00A27688"/>
    <w:rsid w:val="00A33754"/>
    <w:rsid w:val="00A37CE5"/>
    <w:rsid w:val="00A44234"/>
    <w:rsid w:val="00A44D57"/>
    <w:rsid w:val="00A465B1"/>
    <w:rsid w:val="00A61656"/>
    <w:rsid w:val="00A674D5"/>
    <w:rsid w:val="00A67E2B"/>
    <w:rsid w:val="00A81F43"/>
    <w:rsid w:val="00A86CCD"/>
    <w:rsid w:val="00AB2B74"/>
    <w:rsid w:val="00AD4EB0"/>
    <w:rsid w:val="00AD7F96"/>
    <w:rsid w:val="00AF5CE7"/>
    <w:rsid w:val="00B0693F"/>
    <w:rsid w:val="00B30A9B"/>
    <w:rsid w:val="00B54C6F"/>
    <w:rsid w:val="00B7562B"/>
    <w:rsid w:val="00B75806"/>
    <w:rsid w:val="00B845A1"/>
    <w:rsid w:val="00BA5559"/>
    <w:rsid w:val="00BB1CB5"/>
    <w:rsid w:val="00BB4926"/>
    <w:rsid w:val="00BD014A"/>
    <w:rsid w:val="00C06E96"/>
    <w:rsid w:val="00C12070"/>
    <w:rsid w:val="00C414F6"/>
    <w:rsid w:val="00C429B8"/>
    <w:rsid w:val="00C62196"/>
    <w:rsid w:val="00C73922"/>
    <w:rsid w:val="00C845FD"/>
    <w:rsid w:val="00C85755"/>
    <w:rsid w:val="00C90E8A"/>
    <w:rsid w:val="00CB7189"/>
    <w:rsid w:val="00CC33C2"/>
    <w:rsid w:val="00CC3421"/>
    <w:rsid w:val="00CE043F"/>
    <w:rsid w:val="00CE259C"/>
    <w:rsid w:val="00CE7C38"/>
    <w:rsid w:val="00CF5804"/>
    <w:rsid w:val="00D006D5"/>
    <w:rsid w:val="00D26307"/>
    <w:rsid w:val="00D307D0"/>
    <w:rsid w:val="00D46A31"/>
    <w:rsid w:val="00D47992"/>
    <w:rsid w:val="00D63800"/>
    <w:rsid w:val="00D769DC"/>
    <w:rsid w:val="00D923C4"/>
    <w:rsid w:val="00D96145"/>
    <w:rsid w:val="00DA5035"/>
    <w:rsid w:val="00DA7FDA"/>
    <w:rsid w:val="00DB7EF3"/>
    <w:rsid w:val="00DC28DB"/>
    <w:rsid w:val="00DC4320"/>
    <w:rsid w:val="00DE0780"/>
    <w:rsid w:val="00DE0A96"/>
    <w:rsid w:val="00DE72ED"/>
    <w:rsid w:val="00E069C5"/>
    <w:rsid w:val="00E17C9D"/>
    <w:rsid w:val="00E315F4"/>
    <w:rsid w:val="00E4159A"/>
    <w:rsid w:val="00E562F4"/>
    <w:rsid w:val="00E60613"/>
    <w:rsid w:val="00E72F63"/>
    <w:rsid w:val="00E82DF8"/>
    <w:rsid w:val="00E939BD"/>
    <w:rsid w:val="00EA0DDE"/>
    <w:rsid w:val="00EA5098"/>
    <w:rsid w:val="00EB31CA"/>
    <w:rsid w:val="00EC059E"/>
    <w:rsid w:val="00EE669B"/>
    <w:rsid w:val="00EE6CAC"/>
    <w:rsid w:val="00EF2833"/>
    <w:rsid w:val="00EF78C4"/>
    <w:rsid w:val="00F04A5C"/>
    <w:rsid w:val="00F068DA"/>
    <w:rsid w:val="00F0706C"/>
    <w:rsid w:val="00F17988"/>
    <w:rsid w:val="00F320DE"/>
    <w:rsid w:val="00F37E4B"/>
    <w:rsid w:val="00F40DE7"/>
    <w:rsid w:val="00F45E4C"/>
    <w:rsid w:val="00F563CB"/>
    <w:rsid w:val="00F578A2"/>
    <w:rsid w:val="00F774FA"/>
    <w:rsid w:val="00F839D8"/>
    <w:rsid w:val="00F83E94"/>
    <w:rsid w:val="00F93388"/>
    <w:rsid w:val="00F93503"/>
    <w:rsid w:val="00FB398C"/>
    <w:rsid w:val="00FD6EB2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9463105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23C33740F6042AAE852A56C5F7C5C" ma:contentTypeVersion="14" ma:contentTypeDescription="Create a new document." ma:contentTypeScope="" ma:versionID="bd5f76924d1eba3c0206be7921ca425d">
  <xsd:schema xmlns:xsd="http://www.w3.org/2001/XMLSchema" xmlns:xs="http://www.w3.org/2001/XMLSchema" xmlns:p="http://schemas.microsoft.com/office/2006/metadata/properties" xmlns:ns3="a95c1b5c-028b-40eb-ba36-abd5d7dd48fa" xmlns:ns4="36552e57-54d9-423b-bee5-23371503737d" targetNamespace="http://schemas.microsoft.com/office/2006/metadata/properties" ma:root="true" ma:fieldsID="2d7649a85d9ab171c4447d225406bf81" ns3:_="" ns4:_="">
    <xsd:import namespace="a95c1b5c-028b-40eb-ba36-abd5d7dd48fa"/>
    <xsd:import namespace="36552e57-54d9-423b-bee5-233715037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c1b5c-028b-40eb-ba36-abd5d7dd4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52e57-54d9-423b-bee5-23371503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c1b5c-028b-40eb-ba36-abd5d7dd4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64621-F7EE-4319-8EBB-36A9DED9D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c1b5c-028b-40eb-ba36-abd5d7dd48fa"/>
    <ds:schemaRef ds:uri="36552e57-54d9-423b-bee5-23371503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a95c1b5c-028b-40eb-ba36-abd5d7dd48fa"/>
  </ds:schemaRefs>
</ds:datastoreItem>
</file>

<file path=customXml/itemProps3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2</cp:revision>
  <cp:lastPrinted>2017-11-22T18:37:00Z</cp:lastPrinted>
  <dcterms:created xsi:type="dcterms:W3CDTF">2023-04-27T23:13:00Z</dcterms:created>
  <dcterms:modified xsi:type="dcterms:W3CDTF">2023-04-27T23:13:00Z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0x010100D0723C33740F6042AAE852A56C5F7C5C</vt:lpwstr>
  </property>
</Properties>
</file>