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0" w:rsidP="2F3B18E7" w:rsidRDefault="2F3B18E7" w14:paraId="607A1824" w14:textId="6F741944">
      <w:pPr>
        <w:spacing w:after="0"/>
        <w:jc w:val="center"/>
        <w:rPr>
          <w:b w:val="1"/>
          <w:bCs w:val="1"/>
        </w:rPr>
      </w:pPr>
      <w:r w:rsidRPr="6AEEAEC9" w:rsidR="2F3B18E7">
        <w:rPr>
          <w:b w:val="1"/>
          <w:bCs w:val="1"/>
        </w:rPr>
        <w:t xml:space="preserve">PDAC </w:t>
      </w:r>
      <w:r w:rsidRPr="6AEEAEC9" w:rsidR="00F2125B">
        <w:rPr>
          <w:b w:val="1"/>
          <w:bCs w:val="1"/>
        </w:rPr>
        <w:t xml:space="preserve">MINUTES </w:t>
      </w:r>
      <w:r w:rsidRPr="6AEEAEC9" w:rsidR="2F3B18E7">
        <w:rPr>
          <w:b w:val="1"/>
          <w:bCs w:val="1"/>
        </w:rPr>
        <w:t xml:space="preserve">FOR </w:t>
      </w:r>
      <w:r>
        <w:br/>
      </w:r>
      <w:r w:rsidRPr="6AEEAEC9" w:rsidR="0000199C">
        <w:rPr>
          <w:b w:val="1"/>
          <w:bCs w:val="1"/>
        </w:rPr>
        <w:t>September 28</w:t>
      </w:r>
      <w:r w:rsidRPr="6AEEAEC9" w:rsidR="00A318CB">
        <w:rPr>
          <w:b w:val="1"/>
          <w:bCs w:val="1"/>
        </w:rPr>
        <w:t>, 2023</w:t>
      </w:r>
    </w:p>
    <w:p w:rsidRPr="000164A0" w:rsidR="00AD57E0" w:rsidP="2F3B18E7" w:rsidRDefault="00AD57E0" w14:paraId="647701B6" w14:textId="4B572D35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Pr="009043CE" w:rsid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:rsidRPr="000164A0" w:rsidR="000164A0" w:rsidP="000164A0" w:rsidRDefault="00AD57E0" w14:paraId="46FD0ED2" w14:textId="656D3B65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w:history="1" r:id="rId10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:rsidR="2F3B18E7" w:rsidP="007C5F2C" w:rsidRDefault="2F3B18E7" w14:paraId="50563419" w14:textId="416037DE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821EDA">
        <w:rPr>
          <w:bCs/>
        </w:rPr>
        <w:t>2</w:t>
      </w:r>
      <w:r w:rsidRPr="00AD57E0">
        <w:rPr>
          <w:bCs/>
        </w:rPr>
        <w:t>:</w:t>
      </w:r>
      <w:r w:rsidRPr="00AD57E0" w:rsidR="00344E83">
        <w:rPr>
          <w:bCs/>
        </w:rPr>
        <w:t>0</w:t>
      </w:r>
      <w:r w:rsidRPr="00AD57E0">
        <w:rPr>
          <w:bCs/>
        </w:rPr>
        <w:t>0</w:t>
      </w:r>
      <w:r w:rsidR="00821EDA">
        <w:rPr>
          <w:bCs/>
        </w:rPr>
        <w:t>P</w:t>
      </w:r>
      <w:r w:rsidRPr="00AD57E0">
        <w:rPr>
          <w:bCs/>
        </w:rPr>
        <w:t xml:space="preserve">M – </w:t>
      </w:r>
      <w:r w:rsidR="00821EDA">
        <w:rPr>
          <w:bCs/>
        </w:rPr>
        <w:t>3</w:t>
      </w:r>
      <w:r w:rsidRPr="00AD57E0">
        <w:rPr>
          <w:bCs/>
        </w:rPr>
        <w:t>:</w:t>
      </w:r>
      <w:r w:rsidRPr="00AD57E0" w:rsidR="00344E83">
        <w:rPr>
          <w:bCs/>
        </w:rPr>
        <w:t>0</w:t>
      </w:r>
      <w:r w:rsidRPr="00AD57E0">
        <w:rPr>
          <w:bCs/>
        </w:rPr>
        <w:t>0</w:t>
      </w:r>
      <w:r w:rsidR="00821EDA">
        <w:rPr>
          <w:bCs/>
        </w:rPr>
        <w:t>P</w:t>
      </w:r>
      <w:r w:rsidRPr="00AD57E0">
        <w:rPr>
          <w:bCs/>
        </w:rPr>
        <w:t>M</w:t>
      </w:r>
    </w:p>
    <w:p w:rsidR="009043CE" w:rsidP="007C5F2C" w:rsidRDefault="009043CE" w14:paraId="2A3799B9" w14:textId="32111145">
      <w:pPr>
        <w:spacing w:after="0"/>
        <w:jc w:val="center"/>
        <w:rPr>
          <w:color w:val="000000" w:themeColor="text1"/>
        </w:rPr>
      </w:pPr>
    </w:p>
    <w:p w:rsidR="00E9516A" w:rsidP="00A318CB" w:rsidRDefault="009043CE" w14:paraId="147BBE7F" w14:textId="7C07C7C8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="00E033B0">
        <w:rPr>
          <w:rFonts w:asciiTheme="minorHAnsi" w:hAnsiTheme="minorHAnsi" w:cstheme="minorHAnsi"/>
          <w:b/>
          <w:i w:val="0"/>
          <w:color w:val="000000" w:themeColor="text1"/>
        </w:rPr>
        <w:t xml:space="preserve"> Attended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Courtney Diputado, Robert Delgado, J</w:t>
      </w:r>
      <w:r w:rsidR="00821EDA">
        <w:rPr>
          <w:rFonts w:asciiTheme="minorHAnsi" w:hAnsiTheme="minorHAnsi" w:cstheme="minorHAnsi"/>
          <w:color w:val="222222"/>
        </w:rPr>
        <w:t>ustin Nogarr</w:t>
      </w:r>
      <w:r w:rsidRPr="009043CE">
        <w:rPr>
          <w:rFonts w:asciiTheme="minorHAnsi" w:hAnsiTheme="minorHAnsi" w:cstheme="minorHAnsi"/>
          <w:color w:val="222222"/>
        </w:rPr>
        <w:t xml:space="preserve">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Vacant / </w:t>
      </w:r>
      <w:r w:rsidR="003D77CB">
        <w:rPr>
          <w:rFonts w:asciiTheme="minorHAnsi" w:hAnsiTheme="minorHAnsi" w:cstheme="minorHAnsi"/>
          <w:color w:val="222222"/>
        </w:rPr>
        <w:br/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Rosa Armendariz, </w:t>
      </w:r>
      <w:r w:rsidR="00517CF9">
        <w:rPr>
          <w:rFonts w:asciiTheme="minorHAnsi" w:hAnsiTheme="minorHAnsi" w:cstheme="minorHAnsi"/>
          <w:color w:val="222222"/>
        </w:rPr>
        <w:t xml:space="preserve">Jeffrey </w:t>
      </w:r>
      <w:proofErr w:type="spellStart"/>
      <w:r w:rsidR="00517CF9">
        <w:rPr>
          <w:rFonts w:asciiTheme="minorHAnsi" w:hAnsiTheme="minorHAnsi" w:cstheme="minorHAnsi"/>
          <w:color w:val="222222"/>
        </w:rPr>
        <w:t>Benford</w:t>
      </w:r>
      <w:proofErr w:type="spellEnd"/>
      <w:r w:rsidRPr="009043CE">
        <w:rPr>
          <w:rFonts w:asciiTheme="minorHAnsi" w:hAnsiTheme="minorHAnsi" w:cstheme="minorHAnsi"/>
          <w:color w:val="222222"/>
        </w:rPr>
        <w:t>,</w:t>
      </w:r>
      <w:r w:rsidR="00821EDA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821EDA" w:rsidR="00821EDA">
        <w:rPr>
          <w:rFonts w:asciiTheme="minorHAnsi" w:hAnsiTheme="minorHAnsi" w:cstheme="minorHAnsi"/>
          <w:color w:val="222222"/>
        </w:rPr>
        <w:t>A’Kilah</w:t>
      </w:r>
      <w:proofErr w:type="spellEnd"/>
      <w:r w:rsidRPr="00821EDA" w:rsidR="00821EDA">
        <w:rPr>
          <w:rFonts w:asciiTheme="minorHAnsi" w:hAnsiTheme="minorHAnsi" w:cstheme="minorHAnsi"/>
          <w:color w:val="222222"/>
        </w:rPr>
        <w:t xml:space="preserve"> Moore</w:t>
      </w:r>
      <w:bookmarkStart w:name="_GoBack" w:id="0"/>
      <w:bookmarkEnd w:id="0"/>
    </w:p>
    <w:p w:rsidRPr="00A318CB" w:rsidR="009043CE" w:rsidP="00A318CB" w:rsidRDefault="00E9516A" w14:paraId="53D04D58" w14:textId="02A4455F">
      <w:pPr>
        <w:pStyle w:val="Heading4"/>
        <w:rPr>
          <w:rFonts w:asciiTheme="minorHAnsi" w:hAnsiTheme="minorHAnsi" w:cstheme="minorHAnsi"/>
          <w:color w:val="222222"/>
        </w:rPr>
      </w:pPr>
      <w:r w:rsidRPr="00E9516A">
        <w:rPr>
          <w:rFonts w:asciiTheme="minorHAnsi" w:hAnsiTheme="minorHAnsi" w:cstheme="minorHAnsi"/>
          <w:b/>
          <w:bCs/>
          <w:color w:val="222222"/>
        </w:rPr>
        <w:t>MEMBERS Absent:</w:t>
      </w:r>
      <w:r>
        <w:rPr>
          <w:rFonts w:asciiTheme="minorHAnsi" w:hAnsiTheme="minorHAnsi" w:cstheme="minorHAnsi"/>
          <w:color w:val="222222"/>
        </w:rPr>
        <w:t xml:space="preserve"> </w:t>
      </w:r>
      <w:r w:rsidRPr="00E9516A">
        <w:rPr>
          <w:rFonts w:asciiTheme="minorHAnsi" w:hAnsiTheme="minorHAnsi" w:cstheme="minorHAnsi"/>
          <w:b/>
          <w:bCs/>
          <w:color w:val="222222"/>
        </w:rPr>
        <w:t xml:space="preserve">Managers </w:t>
      </w:r>
      <w:r w:rsidR="00457B30">
        <w:rPr>
          <w:rFonts w:asciiTheme="minorHAnsi" w:hAnsiTheme="minorHAnsi" w:cstheme="minorHAnsi"/>
          <w:color w:val="222222"/>
        </w:rPr>
        <w:t>–</w:t>
      </w:r>
      <w:r>
        <w:rPr>
          <w:rFonts w:asciiTheme="minorHAnsi" w:hAnsiTheme="minorHAnsi" w:cstheme="minorHAnsi"/>
          <w:color w:val="222222"/>
        </w:rPr>
        <w:t xml:space="preserve"> </w:t>
      </w:r>
      <w:r w:rsidR="00457B30">
        <w:rPr>
          <w:rFonts w:asciiTheme="minorHAnsi" w:hAnsiTheme="minorHAnsi" w:cstheme="minorHAnsi"/>
          <w:color w:val="222222"/>
        </w:rPr>
        <w:t xml:space="preserve">/ </w:t>
      </w:r>
      <w:r w:rsidRPr="00457B30" w:rsidR="00457B30">
        <w:rPr>
          <w:rFonts w:asciiTheme="minorHAnsi" w:hAnsiTheme="minorHAnsi" w:cstheme="minorHAnsi"/>
          <w:b/>
          <w:color w:val="222222"/>
        </w:rPr>
        <w:t>Faculty</w:t>
      </w:r>
      <w:r w:rsidR="00457B30">
        <w:rPr>
          <w:rFonts w:asciiTheme="minorHAnsi" w:hAnsiTheme="minorHAnsi" w:cstheme="minorHAnsi"/>
          <w:color w:val="222222"/>
        </w:rPr>
        <w:t xml:space="preserve"> </w:t>
      </w:r>
      <w:proofErr w:type="gramStart"/>
      <w:r w:rsidR="00457B30">
        <w:rPr>
          <w:rFonts w:asciiTheme="minorHAnsi" w:hAnsiTheme="minorHAnsi" w:cstheme="minorHAnsi"/>
          <w:color w:val="222222"/>
        </w:rPr>
        <w:t xml:space="preserve">- </w:t>
      </w:r>
      <w:r w:rsidRPr="009043CE" w:rsidR="00821EDA">
        <w:rPr>
          <w:rFonts w:asciiTheme="minorHAnsi" w:hAnsiTheme="minorHAnsi" w:cstheme="minorHAnsi"/>
          <w:color w:val="222222"/>
        </w:rPr>
        <w:t xml:space="preserve"> Jill</w:t>
      </w:r>
      <w:proofErr w:type="gramEnd"/>
      <w:r w:rsidRPr="009043CE" w:rsidR="00821EDA">
        <w:rPr>
          <w:rFonts w:asciiTheme="minorHAnsi" w:hAnsiTheme="minorHAnsi" w:cstheme="minorHAnsi"/>
          <w:color w:val="222222"/>
        </w:rPr>
        <w:t xml:space="preserve"> Buettner</w:t>
      </w:r>
      <w:r w:rsidR="00821EDA">
        <w:rPr>
          <w:rFonts w:asciiTheme="minorHAnsi" w:hAnsiTheme="minorHAnsi" w:cstheme="minorHAnsi"/>
          <w:color w:val="222222"/>
        </w:rPr>
        <w:t xml:space="preserve"> </w:t>
      </w:r>
      <w:r w:rsidR="00457B30">
        <w:rPr>
          <w:rFonts w:asciiTheme="minorHAnsi" w:hAnsiTheme="minorHAnsi" w:cstheme="minorHAnsi"/>
          <w:color w:val="222222"/>
        </w:rPr>
        <w:t xml:space="preserve">/ </w:t>
      </w:r>
      <w:r w:rsidRPr="00457B30" w:rsidR="00457B30">
        <w:rPr>
          <w:rFonts w:asciiTheme="minorHAnsi" w:hAnsiTheme="minorHAnsi" w:cstheme="minorHAnsi"/>
          <w:b/>
          <w:color w:val="222222"/>
        </w:rPr>
        <w:t>Classified</w:t>
      </w:r>
      <w:r w:rsidR="00457B30">
        <w:rPr>
          <w:rFonts w:asciiTheme="minorHAnsi" w:hAnsiTheme="minorHAnsi" w:cstheme="minorHAnsi"/>
          <w:color w:val="222222"/>
        </w:rPr>
        <w:t xml:space="preserve"> -</w:t>
      </w:r>
      <w:r w:rsidRPr="00821EDA" w:rsidR="00821EDA">
        <w:rPr>
          <w:rFonts w:asciiTheme="minorHAnsi" w:hAnsiTheme="minorHAnsi" w:cstheme="minorHAnsi"/>
          <w:color w:val="222222"/>
        </w:rPr>
        <w:t xml:space="preserve"> </w:t>
      </w:r>
      <w:r w:rsidRPr="009043CE" w:rsidR="00821EDA">
        <w:rPr>
          <w:rFonts w:asciiTheme="minorHAnsi" w:hAnsiTheme="minorHAnsi" w:cstheme="minorHAnsi"/>
          <w:color w:val="222222"/>
        </w:rPr>
        <w:t>Jim Kolthoff</w:t>
      </w:r>
      <w:r w:rsidR="00457B30">
        <w:rPr>
          <w:rFonts w:asciiTheme="minorHAnsi" w:hAnsiTheme="minorHAnsi" w:cstheme="minorHAnsi"/>
          <w:color w:val="222222"/>
        </w:rPr>
        <w:t xml:space="preserve"> </w:t>
      </w:r>
      <w:r w:rsidRPr="009043CE" w:rsidR="009043CE">
        <w:rPr>
          <w:rFonts w:asciiTheme="minorHAnsi" w:hAnsiTheme="minorHAnsi" w:cstheme="minorHAnsi"/>
          <w:color w:val="222222"/>
        </w:rPr>
        <w:t xml:space="preserve">/ </w:t>
      </w:r>
      <w:r w:rsidRPr="009043CE" w:rsid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 w:rsid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 w:rsidR="009043CE">
        <w:rPr>
          <w:rFonts w:asciiTheme="minorHAnsi" w:hAnsiTheme="minorHAnsi" w:cstheme="minorHAnsi"/>
          <w:color w:val="222222"/>
        </w:rPr>
        <w:t>Jacob Boyle</w:t>
      </w:r>
    </w:p>
    <w:p w:rsidRPr="007C5F2C" w:rsidR="007C5F2C" w:rsidP="007C5F2C" w:rsidRDefault="007C5F2C" w14:paraId="5CF243F5" w14:textId="77777777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Pr="0037416D" w:rsidR="00E033B0" w:rsidTr="6AEEAEC9" w14:paraId="0E1E4649" w14:textId="77777777">
        <w:trPr>
          <w:trHeight w:val="467"/>
        </w:trPr>
        <w:tc>
          <w:tcPr>
            <w:tcW w:w="8815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0ED0DD83" w14:textId="77777777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DCE96DE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97ED042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11087FDF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Pr="0037416D" w:rsidR="00E033B0" w:rsidTr="6AEEAEC9" w14:paraId="600C5ABD" w14:textId="77777777">
        <w:trPr>
          <w:trHeight w:val="516"/>
        </w:trPr>
        <w:tc>
          <w:tcPr>
            <w:tcW w:w="8815" w:type="dxa"/>
            <w:tcMar/>
          </w:tcPr>
          <w:p w:rsidRPr="0037416D" w:rsidR="00E033B0" w:rsidP="004A4DBD" w:rsidRDefault="00E033B0" w14:paraId="3A7B21CE" w14:textId="34596EAB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Welcome</w:t>
            </w:r>
          </w:p>
          <w:p w:rsidRPr="0037416D" w:rsidR="002078D2" w:rsidP="004A4DBD" w:rsidRDefault="00E033B0" w14:paraId="5D646682" w14:textId="46214706">
            <w:pPr>
              <w:numPr>
                <w:ilvl w:val="0"/>
                <w:numId w:val="22"/>
              </w:numPr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Announcements (Public)</w:t>
            </w:r>
            <w:r w:rsidR="002078D2">
              <w:rPr>
                <w:sz w:val="20"/>
                <w:szCs w:val="20"/>
              </w:rPr>
              <w:br/>
            </w:r>
            <w:r w:rsidR="002078D2">
              <w:rPr>
                <w:sz w:val="20"/>
                <w:szCs w:val="20"/>
              </w:rPr>
              <w:t>Rosa’s v</w:t>
            </w:r>
            <w:r w:rsidRPr="002078D2" w:rsidR="002078D2">
              <w:rPr>
                <w:sz w:val="20"/>
                <w:szCs w:val="20"/>
              </w:rPr>
              <w:t>ery special announcement is that we want to welcome Justin Nogar</w:t>
            </w:r>
            <w:r w:rsidR="0035028C">
              <w:rPr>
                <w:sz w:val="20"/>
                <w:szCs w:val="20"/>
              </w:rPr>
              <w:t>r</w:t>
            </w:r>
            <w:r w:rsidRPr="002078D2" w:rsidR="002078D2">
              <w:rPr>
                <w:sz w:val="20"/>
                <w:szCs w:val="20"/>
              </w:rPr>
              <w:t xml:space="preserve"> into his new role as our program coordinator for professional development.</w:t>
            </w:r>
          </w:p>
          <w:p w:rsidRPr="004A4DBD" w:rsidR="00E033B0" w:rsidP="004A4DBD" w:rsidRDefault="00E033B0" w14:paraId="20CCBA06" w14:textId="1C57AC7A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0164A0" w:rsidRDefault="00E033B0" w14:paraId="69093804" w14:textId="00F0B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  <w:tcMar/>
          </w:tcPr>
          <w:p w:rsidR="00E033B0" w:rsidP="000164A0" w:rsidRDefault="00E033B0" w14:paraId="21B6E8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37416D" w:rsidR="00E033B0" w:rsidP="000164A0" w:rsidRDefault="00E033B0" w14:paraId="00FD1BBE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37416D" w:rsidRDefault="00E033B0" w14:paraId="091E0757" w14:textId="77777777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6AEEAEC9" w14:paraId="477E7B64" w14:textId="77777777">
        <w:trPr>
          <w:trHeight w:val="237"/>
        </w:trPr>
        <w:tc>
          <w:tcPr>
            <w:tcW w:w="8815" w:type="dxa"/>
            <w:shd w:val="clear" w:color="auto" w:fill="BFBFBF" w:themeFill="background1" w:themeFillShade="BF"/>
            <w:tcMar/>
          </w:tcPr>
          <w:p w:rsidRPr="004A4DBD" w:rsidR="00E033B0" w:rsidP="004A4DBD" w:rsidRDefault="00E033B0" w14:paraId="5501EA99" w14:textId="77777777">
            <w:pPr>
              <w:pStyle w:val="ListParagraph"/>
              <w:ind w:left="450"/>
              <w:rPr>
                <w:b/>
                <w:sz w:val="20"/>
                <w:szCs w:val="20"/>
              </w:rPr>
            </w:pPr>
            <w:r w:rsidRPr="004A4DB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4591E153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087DFCA8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645261CA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6AEEAEC9" w14:paraId="1DB01EAE" w14:textId="77777777">
        <w:trPr>
          <w:trHeight w:val="568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004A4DBD" w:rsidRDefault="00E033B0" w14:paraId="0868669B" w14:textId="7D84A02B">
            <w:pPr>
              <w:pStyle w:val="ListParagraph"/>
              <w:numPr>
                <w:ilvl w:val="0"/>
                <w:numId w:val="22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:rsidRPr="00E9516A" w:rsidR="00E9516A" w:rsidP="004A4DBD" w:rsidRDefault="002078D2" w14:paraId="1C0D6844" w14:textId="6EC5811B">
            <w:pPr>
              <w:pStyle w:val="ListParagraph"/>
              <w:numPr>
                <w:ilvl w:val="1"/>
                <w:numId w:val="22"/>
              </w:numPr>
              <w:tabs>
                <w:tab w:val="left" w:pos="870"/>
              </w:tabs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Jeffrey </w:t>
            </w:r>
            <w:proofErr w:type="spellStart"/>
            <w:r>
              <w:rPr>
                <w:i/>
                <w:iCs/>
                <w:sz w:val="20"/>
                <w:szCs w:val="20"/>
              </w:rPr>
              <w:t>Benford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E9516A" w:rsidR="00E9516A">
              <w:rPr>
                <w:i/>
                <w:iCs/>
                <w:sz w:val="20"/>
                <w:szCs w:val="20"/>
              </w:rPr>
              <w:t xml:space="preserve">makes motion, </w:t>
            </w:r>
            <w:r>
              <w:rPr>
                <w:i/>
                <w:iCs/>
                <w:sz w:val="20"/>
                <w:szCs w:val="20"/>
              </w:rPr>
              <w:t xml:space="preserve">Erlinda Jones </w:t>
            </w:r>
            <w:r w:rsidRPr="00E9516A" w:rsidR="00E9516A">
              <w:rPr>
                <w:i/>
                <w:iCs/>
                <w:sz w:val="20"/>
                <w:szCs w:val="20"/>
              </w:rPr>
              <w:t xml:space="preserve">seconds, all in favor. </w:t>
            </w:r>
          </w:p>
          <w:p w:rsidR="00E033B0" w:rsidP="004A4DBD" w:rsidRDefault="00E033B0" w14:paraId="6087787A" w14:textId="10E1090B">
            <w:pPr>
              <w:pStyle w:val="ListParagraph"/>
              <w:numPr>
                <w:ilvl w:val="0"/>
                <w:numId w:val="22"/>
              </w:num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of Minutes </w:t>
            </w:r>
            <w:r w:rsidR="002078D2">
              <w:rPr>
                <w:sz w:val="20"/>
                <w:szCs w:val="20"/>
              </w:rPr>
              <w:t>May/28</w:t>
            </w:r>
            <w:r w:rsidR="00A7143B">
              <w:rPr>
                <w:sz w:val="20"/>
                <w:szCs w:val="20"/>
              </w:rPr>
              <w:t>/</w:t>
            </w:r>
            <w:r w:rsidR="002078D2">
              <w:rPr>
                <w:sz w:val="20"/>
                <w:szCs w:val="20"/>
              </w:rPr>
              <w:t>2023</w:t>
            </w:r>
          </w:p>
          <w:p w:rsidRPr="00F2125B" w:rsidR="00F2125B" w:rsidP="004A4DBD" w:rsidRDefault="0035028C" w14:paraId="752981F4" w14:textId="5C0BA762">
            <w:pPr>
              <w:pStyle w:val="ListParagraph"/>
              <w:numPr>
                <w:ilvl w:val="1"/>
                <w:numId w:val="22"/>
              </w:numPr>
              <w:tabs>
                <w:tab w:val="left" w:pos="870"/>
              </w:tabs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Erlinda 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 xml:space="preserve">makes motion,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Courtney Diputado </w:t>
            </w:r>
            <w:r w:rsidR="00E9516A">
              <w:rPr>
                <w:rFonts w:cstheme="minorHAnsi"/>
                <w:i/>
                <w:iCs/>
                <w:color w:val="222222"/>
                <w:sz w:val="20"/>
                <w:szCs w:val="20"/>
                <w:shd w:val="clear" w:color="auto" w:fill="FFFFFF"/>
              </w:rPr>
              <w:t>seconds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 xml:space="preserve">, all </w:t>
            </w:r>
            <w:r w:rsidR="00E9516A">
              <w:rPr>
                <w:rFonts w:cstheme="minorHAnsi"/>
                <w:i/>
                <w:iCs/>
                <w:sz w:val="20"/>
                <w:szCs w:val="20"/>
              </w:rPr>
              <w:t>in favor</w:t>
            </w:r>
            <w:r w:rsidRPr="00F2125B" w:rsidR="00F2125B">
              <w:rPr>
                <w:rFonts w:cstheme="minorHAnsi"/>
                <w:i/>
                <w:iCs/>
                <w:sz w:val="20"/>
                <w:szCs w:val="20"/>
              </w:rPr>
              <w:t xml:space="preserve">. </w:t>
            </w:r>
          </w:p>
          <w:p w:rsidRPr="005C2354" w:rsidR="00E033B0" w:rsidP="2F3B18E7" w:rsidRDefault="00E033B0" w14:paraId="60141D24" w14:textId="3172C2A8">
            <w:pPr>
              <w:ind w:left="420" w:hanging="42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37416D" w:rsidR="00E033B0" w:rsidP="005C2354" w:rsidRDefault="00E033B0" w14:paraId="7EAEE510" w14:textId="56658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E08C9" w:rsidRDefault="00E033B0" w14:paraId="169681BD" w14:textId="7654D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164A0" w:rsidRDefault="00E033B0" w14:paraId="26FBEAEE" w14:textId="77777777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297079F0" w14:textId="69CA8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Pr="0037416D" w:rsidR="00E033B0" w:rsidP="000164A0" w:rsidRDefault="00E033B0" w14:paraId="5B02BEF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13659860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Pr="0037416D" w:rsidR="00E033B0" w:rsidP="00633C45" w:rsidRDefault="00E033B0" w14:paraId="3B9351A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6AEEAEC9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4A4DBD" w:rsidR="00E033B0" w:rsidP="004A4DBD" w:rsidRDefault="00E033B0" w14:paraId="0895B6BB" w14:textId="6DA6C06A">
            <w:pPr>
              <w:pStyle w:val="ListParagraph"/>
              <w:ind w:left="450"/>
              <w:rPr>
                <w:b/>
                <w:sz w:val="20"/>
                <w:szCs w:val="20"/>
              </w:rPr>
            </w:pPr>
            <w:r w:rsidRPr="004A4DBD">
              <w:rPr>
                <w:b/>
                <w:sz w:val="20"/>
                <w:szCs w:val="20"/>
              </w:rPr>
              <w:t>Business</w:t>
            </w:r>
          </w:p>
        </w:tc>
      </w:tr>
      <w:tr w:rsidRPr="0037416D" w:rsidR="00E033B0" w:rsidTr="6AEEAEC9" w14:paraId="0658CA56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Pr="0035028C" w:rsidR="00F2125B" w:rsidP="6AEEAEC9" w:rsidRDefault="0035028C" w14:paraId="7C1D5548" w14:textId="40EB2E7A">
            <w:pPr>
              <w:pStyle w:val="ListParagraph"/>
              <w:numPr>
                <w:ilvl w:val="0"/>
                <w:numId w:val="22"/>
              </w:numPr>
              <w:rPr>
                <w:rFonts w:eastAsia="" w:eastAsiaTheme="minorEastAsia"/>
                <w:sz w:val="20"/>
                <w:szCs w:val="20"/>
              </w:rPr>
            </w:pPr>
            <w:r w:rsidRPr="6AEEAEC9" w:rsidR="0035028C">
              <w:rPr>
                <w:rFonts w:eastAsia="" w:eastAsiaTheme="minorEastAsia"/>
                <w:sz w:val="20"/>
                <w:szCs w:val="20"/>
              </w:rPr>
              <w:t>Review Goals and Objectives</w:t>
            </w:r>
            <w:r w:rsidRPr="6AEEAEC9" w:rsidR="00F2125B">
              <w:rPr>
                <w:rFonts w:eastAsia="" w:eastAsiaTheme="minorEastAsia"/>
                <w:sz w:val="20"/>
                <w:szCs w:val="20"/>
              </w:rPr>
              <w:t>:</w:t>
            </w:r>
          </w:p>
          <w:p w:rsidRPr="0035028C" w:rsidR="00F2125B" w:rsidP="004A4DBD" w:rsidRDefault="0035028C" w14:paraId="3BCA9921" w14:textId="1034FAAB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Goal 3 changed</w:t>
            </w:r>
            <w:r w:rsid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and approved in Spring 2023</w:t>
            </w:r>
          </w:p>
          <w:p w:rsidR="00F2125B" w:rsidP="6AEEAEC9" w:rsidRDefault="0035028C" w14:paraId="7E38EB5D" w14:textId="0A03874D">
            <w:pPr>
              <w:pStyle w:val="ListParagraph"/>
              <w:numPr>
                <w:ilvl w:val="2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35028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All L</w:t>
            </w:r>
            <w:r w:rsidRPr="6AEEAEC9" w:rsidR="004E09B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MC</w:t>
            </w:r>
            <w:r w:rsidRPr="6AEEAEC9" w:rsidR="0035028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faculty</w:t>
            </w:r>
            <w:r w:rsidRPr="6AEEAEC9" w:rsidR="43DB6C1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</w:t>
            </w:r>
            <w:r w:rsidRPr="6AEEAEC9" w:rsidR="0035028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classif</w:t>
            </w:r>
            <w:r w:rsidRPr="6AEEAEC9" w:rsidR="16E4E405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ied</w:t>
            </w:r>
            <w:r w:rsidRPr="6AEEAEC9" w:rsidR="0035028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staff</w:t>
            </w:r>
            <w:r w:rsidRPr="6AEEAEC9" w:rsidR="3D7BF665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</w:t>
            </w:r>
            <w:r w:rsidRPr="6AEEAEC9" w:rsidR="0035028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and managers have opportunities to develop and expand their job skills and competencies which influence and support student employee learning</w:t>
            </w:r>
          </w:p>
          <w:p w:rsidR="004E09BD" w:rsidP="004A4DBD" w:rsidRDefault="004E09BD" w14:paraId="4395D2BD" w14:textId="7ED6BD51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LMC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faculty, classif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ied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staff and managers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cultivate 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a 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>common understanding and practice of integral cultural competenc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e and humility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which creates an equitable and respectful campus environment.</w:t>
            </w:r>
          </w:p>
          <w:p w:rsidRPr="004E09BD" w:rsidR="004E09BD" w:rsidP="004A4DBD" w:rsidRDefault="004E09BD" w14:paraId="2E8AD11C" w14:textId="154F205C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All 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>L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MC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employees w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ill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engage in the necessary training o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n</w:t>
            </w:r>
            <w:r w:rsidRPr="004E09BD">
              <w:rPr>
                <w:rFonts w:eastAsiaTheme="minorEastAsia"/>
                <w:i/>
                <w:iCs/>
                <w:sz w:val="20"/>
                <w:szCs w:val="20"/>
              </w:rPr>
              <w:t xml:space="preserve"> tools and resources to use relevant technology and learning management programs to succeed in their roles.</w:t>
            </w:r>
          </w:p>
          <w:p w:rsidRPr="004335DD" w:rsidR="004335DD" w:rsidP="004A4DBD" w:rsidRDefault="004335DD" w14:paraId="772D482C" w14:textId="5882BB74">
            <w:pPr>
              <w:pStyle w:val="ListParagraph"/>
              <w:numPr>
                <w:ilvl w:val="2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F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aculty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staff and managers actively engage in collaborations which meet their professional needs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 t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he needs of our students</w:t>
            </w:r>
            <w:r w:rsidRPr="6AEEAEC9" w:rsidR="004335D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and of the broader campus community.</w:t>
            </w:r>
          </w:p>
          <w:p w:rsidR="2077A90E" w:rsidP="6AEEAEC9" w:rsidRDefault="2077A90E" w14:paraId="31EA9CF5" w14:textId="1934930E">
            <w:pPr>
              <w:pStyle w:val="ListParagraph"/>
              <w:numPr>
                <w:ilvl w:val="1"/>
                <w:numId w:val="22"/>
              </w:numPr>
              <w:bidi w:val="0"/>
              <w:spacing w:before="0" w:beforeAutospacing="off" w:after="0" w:afterAutospacing="off" w:line="259" w:lineRule="auto"/>
              <w:ind w:left="1440" w:right="0" w:hanging="360"/>
              <w:jc w:val="left"/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2077A90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It was </w:t>
            </w:r>
            <w:r w:rsidRPr="6AEEAEC9" w:rsidR="2077A90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clarified</w:t>
            </w:r>
            <w:r w:rsidRPr="6AEEAEC9" w:rsidR="2077A90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that we would use these goals as our charges for the year. </w:t>
            </w:r>
          </w:p>
          <w:p w:rsidR="000739DC" w:rsidP="004A4DBD" w:rsidRDefault="005815DA" w14:paraId="5C84F74E" w14:textId="16A76B61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6AEEAEC9" w:rsidR="005815DA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Want to make sure </w:t>
            </w:r>
            <w:r w:rsidRPr="6AEEAEC9" w:rsidR="004E09B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LMC c</w:t>
            </w:r>
            <w:r w:rsidRPr="6AEEAEC9" w:rsidR="004E09B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ommunity</w:t>
            </w:r>
            <w:r w:rsidRPr="6AEEAEC9" w:rsidR="004E09B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needs and</w:t>
            </w:r>
            <w:r w:rsidRPr="6AEEAEC9" w:rsidR="004E09BD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the mini-grant opportunities are aligning with our goals that we have, and we set up for ourselves.</w:t>
            </w:r>
          </w:p>
          <w:p w:rsidR="004A4DBD" w:rsidP="004A4DBD" w:rsidRDefault="004A4DBD" w14:paraId="01BBB17A" w14:textId="77777777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iCs/>
                <w:sz w:val="20"/>
                <w:szCs w:val="20"/>
              </w:rPr>
            </w:pPr>
            <w:r w:rsidRPr="004A4DBD">
              <w:rPr>
                <w:rFonts w:eastAsiaTheme="minorEastAsia"/>
                <w:iCs/>
                <w:sz w:val="20"/>
                <w:szCs w:val="20"/>
              </w:rPr>
              <w:t>Review PDAC Membership</w:t>
            </w:r>
          </w:p>
          <w:p w:rsidRPr="001608BA" w:rsidR="00495BA9" w:rsidP="004A4DBD" w:rsidRDefault="004A4DBD" w14:paraId="7891D599" w14:textId="0136C144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1608BA">
              <w:rPr>
                <w:rFonts w:eastAsiaTheme="minorEastAsia"/>
                <w:i/>
                <w:iCs/>
                <w:sz w:val="20"/>
                <w:szCs w:val="20"/>
              </w:rPr>
              <w:t>Our format has been that</w:t>
            </w:r>
            <w:r w:rsidRPr="001608BA" w:rsidR="008E1DCB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  <w:r w:rsidRPr="001608BA">
              <w:rPr>
                <w:rFonts w:eastAsiaTheme="minorEastAsia"/>
                <w:i/>
                <w:iCs/>
                <w:sz w:val="20"/>
                <w:szCs w:val="20"/>
              </w:rPr>
              <w:t>we have 3 Classified Professionals, 3 faculty, 3 managers, and a student at representative of LMCAS.</w:t>
            </w:r>
            <w:r w:rsidRPr="001608BA" w:rsidR="00495BA9">
              <w:rPr>
                <w:rFonts w:eastAsiaTheme="minorEastAsia"/>
                <w:i/>
                <w:iCs/>
                <w:sz w:val="20"/>
                <w:szCs w:val="20"/>
              </w:rPr>
              <w:t xml:space="preserve">  Members this year (below):</w:t>
            </w:r>
          </w:p>
          <w:p w:rsidRPr="001608BA" w:rsidR="00495BA9" w:rsidP="6AEEAEC9" w:rsidRDefault="008E1DCB" w14:paraId="4BF31205" w14:textId="7A024EDF">
            <w:pPr>
              <w:pStyle w:val="ListParagraph"/>
              <w:numPr>
                <w:ilvl w:val="2"/>
                <w:numId w:val="24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Classified Professionals: Robert, Courtney, Jim </w:t>
            </w:r>
            <w:r w:rsidRPr="6AEEAEC9" w:rsidR="152FE24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Kolthoff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. </w:t>
            </w:r>
          </w:p>
          <w:p w:rsidRPr="001608BA" w:rsidR="00495BA9" w:rsidP="6AEEAEC9" w:rsidRDefault="008E1DCB" w14:paraId="763AC95C" w14:textId="22776BF1">
            <w:pPr>
              <w:pStyle w:val="ListParagraph"/>
              <w:numPr>
                <w:ilvl w:val="2"/>
                <w:numId w:val="24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Faculty: </w:t>
            </w:r>
            <w:r w:rsidRPr="6AEEAEC9" w:rsidR="157413A5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Erl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inda</w:t>
            </w:r>
            <w:r w:rsidRPr="6AEEAEC9" w:rsidR="687D8B9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Jones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 Jill Buettner, and Star Steers may be appointed to PDAC by Academic Senate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.  </w:t>
            </w:r>
          </w:p>
          <w:p w:rsidRPr="001608BA" w:rsidR="00495BA9" w:rsidP="6AEEAEC9" w:rsidRDefault="008E1DCB" w14:paraId="1B548F23" w14:textId="079E25BF">
            <w:pPr>
              <w:pStyle w:val="ListParagraph"/>
              <w:numPr>
                <w:ilvl w:val="2"/>
                <w:numId w:val="24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Managers: Rosa Armendariz, Jeffrey 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Benford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 and a vacant seat to fill</w:t>
            </w:r>
            <w:r w:rsidRPr="6AEEAEC9" w:rsidR="00495BA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since Natalie Han</w:t>
            </w:r>
            <w:r w:rsidRPr="6AEEAEC9" w:rsidR="017E498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num</w:t>
            </w:r>
            <w:r w:rsidRPr="6AEEAEC9" w:rsidR="00495BA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retirement</w:t>
            </w:r>
            <w:r w:rsidRPr="6AEEAEC9" w:rsidR="008E1DC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. </w:t>
            </w:r>
            <w:r w:rsidRPr="6AEEAEC9" w:rsidR="00495BA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VP </w:t>
            </w:r>
            <w:r w:rsidRPr="6AEEAEC9" w:rsidR="00495BA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A’Kilah</w:t>
            </w:r>
            <w:r w:rsidRPr="6AEEAEC9" w:rsidR="00495BA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Moore </w:t>
            </w:r>
            <w:r w:rsidRPr="6AEEAEC9" w:rsidR="40B2094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will join. </w:t>
            </w:r>
          </w:p>
          <w:p w:rsidRPr="001608BA" w:rsidR="00BA10A6" w:rsidP="001608BA" w:rsidRDefault="00495BA9" w14:paraId="2FCF2D2C" w14:textId="30BE5160">
            <w:pPr>
              <w:pStyle w:val="ListParagraph"/>
              <w:numPr>
                <w:ilvl w:val="2"/>
                <w:numId w:val="24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 w:rsidRPr="001608BA">
              <w:rPr>
                <w:rFonts w:eastAsiaTheme="minorEastAsia"/>
                <w:i/>
                <w:iCs/>
                <w:sz w:val="20"/>
                <w:szCs w:val="20"/>
              </w:rPr>
              <w:t xml:space="preserve">Students: Jacob Boyle is stepping into LMCAS President role and may not be able to attend so may recommend another student to represent. </w:t>
            </w:r>
          </w:p>
          <w:p w:rsidRPr="000739DC" w:rsidR="00E033B0" w:rsidP="004A4DBD" w:rsidRDefault="00FA0A70" w14:paraId="7663EFBA" w14:textId="14183842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Tracking of Conferences and Summits</w:t>
            </w:r>
          </w:p>
          <w:p w:rsidRPr="000739DC" w:rsidR="000739DC" w:rsidP="6AEEAEC9" w:rsidRDefault="008F3D9F" w14:paraId="1F2BC628" w14:textId="78CC60FB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Erlinda – seeing the options helps us 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determine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if there </w:t>
            </w:r>
            <w:r w:rsidRPr="6AEEAEC9" w:rsidR="508EAD24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are any 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we want to send a team to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.  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We get individual requests primarily through different departments, but a list can help put teams together. </w:t>
            </w:r>
          </w:p>
          <w:p w:rsidR="001608BA" w:rsidP="6AEEAEC9" w:rsidRDefault="008F3D9F" w14:paraId="400D641A" w14:textId="5BBB9E21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Jeffrey Question: RP</w:t>
            </w:r>
            <w:r w:rsidRPr="6AEEAEC9" w:rsidR="00CD04F4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</w:t>
            </w:r>
            <w:r w:rsidRPr="6AEEAEC9" w:rsidR="0010172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Group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on the 13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– Are there any other student services people coming besides 2 coun</w:t>
            </w:r>
            <w:r w:rsidRPr="6AEEAEC9" w:rsidR="57218E8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selors</w:t>
            </w:r>
            <w:r w:rsidRPr="6AEEAEC9" w:rsidR="0010172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: Carrie White and Rudolph Rose</w:t>
            </w:r>
            <w:r w:rsidRPr="6AEEAEC9" w:rsidR="3EF332FA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?</w:t>
            </w:r>
          </w:p>
          <w:p w:rsidR="000739DC" w:rsidP="6AEEAEC9" w:rsidRDefault="008F3D9F" w14:paraId="1BC43ADD" w14:textId="6A66F2D0">
            <w:pPr>
              <w:pStyle w:val="ListParagraph"/>
              <w:numPr>
                <w:ilvl w:val="2"/>
                <w:numId w:val="23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Robert confirmed that 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BethAnn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Stone with the Office of PIE </w:t>
            </w:r>
            <w:r w:rsidRPr="6AEEAEC9" w:rsidR="0010172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and Melina Rodriguez</w:t>
            </w:r>
            <w:r w:rsidRPr="6AEEAEC9" w:rsidR="3FD0C44E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 Student Success Coach for Career Ed</w:t>
            </w:r>
            <w:r w:rsidRPr="6AEEAEC9" w:rsidR="0010172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.</w:t>
            </w:r>
            <w:r w:rsidRPr="6AEEAEC9" w:rsidR="35D666F9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We are hoping that they can bring back information to inform LMC Pathways.</w:t>
            </w:r>
            <w:r w:rsidRPr="6AEEAEC9" w:rsidR="008F3D9F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</w:t>
            </w:r>
            <w:r w:rsidRPr="6AEEAEC9" w:rsidR="0FC37714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It was recommended that other Student Services team members attend.  We can recruit for next year again.</w:t>
            </w:r>
          </w:p>
          <w:p w:rsidR="000739DC" w:rsidP="004A4DBD" w:rsidRDefault="001608BA" w14:paraId="239F6CE9" w14:textId="753017CC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Dr. Janith Norman question: from DE perspective</w:t>
            </w:r>
            <w:r w:rsidR="007966C0">
              <w:rPr>
                <w:rFonts w:eastAsiaTheme="minorEastAsia"/>
                <w:i/>
                <w:iCs/>
                <w:sz w:val="20"/>
                <w:szCs w:val="20"/>
              </w:rPr>
              <w:t>, are you considering the online learning factor (effective/equitable online teaching/learning) when looking at these types of conferences, regarding student success?</w:t>
            </w:r>
          </w:p>
          <w:p w:rsidR="000739DC" w:rsidP="0032263B" w:rsidRDefault="007966C0" w14:paraId="6C4812BE" w14:textId="2A0311E6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Worried that there is a gap in the connection between PDAC, LPG, and Distance Ed regarding trainings and online learning.</w:t>
            </w:r>
            <w:r w:rsidR="000739DC">
              <w:rPr>
                <w:rFonts w:eastAsiaTheme="minorEastAsia"/>
                <w:i/>
                <w:iCs/>
                <w:sz w:val="20"/>
                <w:szCs w:val="20"/>
              </w:rPr>
              <w:t xml:space="preserve"> </w:t>
            </w:r>
          </w:p>
          <w:p w:rsidR="000739DC" w:rsidP="6AEEAEC9" w:rsidRDefault="007966C0" w14:paraId="3C9771B8" w14:textId="3886EA04">
            <w:pPr>
              <w:pStyle w:val="ListParagraph"/>
              <w:numPr>
                <w:ilvl w:val="0"/>
                <w:numId w:val="25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7966C0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Robert response: Thanks for brin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g</w:t>
            </w:r>
            <w:r w:rsidRPr="6AEEAEC9" w:rsidR="007966C0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ing up. Pulled up Rosa’s updated document on PDAC conference and PD funding guidelines showing timelines and </w:t>
            </w:r>
            <w:r w:rsidRPr="6AEEAEC9" w:rsidR="007966C0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request directions. 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This gives guidance on how and when things are approved, notifications, </w:t>
            </w:r>
            <w:r w:rsidRPr="6AEEAEC9" w:rsidR="7A5DB06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and 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other sources of funding available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.  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There is an allocation received for PD, but there’s also professional funding available from different areas like departments 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operating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under AB705. Also, working with the SEM group to think about sending a team</w:t>
            </w:r>
            <w:r w:rsidRPr="6AEEAEC9" w:rsidR="0032263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.</w:t>
            </w: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 </w:t>
            </w: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Maybe there</w:t>
            </w: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are other connections for funding that can be made without going through PDAC.</w:t>
            </w:r>
          </w:p>
          <w:p w:rsidRPr="001608BA" w:rsidR="00517CF9" w:rsidP="0032263B" w:rsidRDefault="007C76B2" w14:paraId="4DBF56CA" w14:textId="55609010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Example: Classified professionals also receive funding from CEEP and Local One for different things.</w:t>
            </w:r>
          </w:p>
          <w:p w:rsidR="00005051" w:rsidP="6AEEAEC9" w:rsidRDefault="007C76B2" w14:paraId="29D7CC60" w14:textId="1A3E8784">
            <w:pPr>
              <w:pStyle w:val="ListParagraph"/>
              <w:numPr>
                <w:ilvl w:val="0"/>
                <w:numId w:val="25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Rosa </w:t>
            </w:r>
            <w:r w:rsidRPr="6AEEAEC9" w:rsidR="73B6FAB3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pointed</w:t>
            </w: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out that we are building </w:t>
            </w:r>
            <w:r w:rsidRPr="6AEEAEC9" w:rsidR="007C76B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capacity to be more integrated in DE</w:t>
            </w:r>
            <w:r w:rsidRPr="6AEEAEC9" w:rsidR="0000199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, and there are opportunities for PD in your area as well. Can brainstorm possibilities within our different committees.</w:t>
            </w:r>
          </w:p>
          <w:p w:rsidR="0037100B" w:rsidP="00CD04F4" w:rsidRDefault="0000199C" w14:paraId="19E16A2A" w14:textId="656A514B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Star</w:t>
            </w:r>
            <w:r w:rsidR="00CD04F4">
              <w:rPr>
                <w:rFonts w:eastAsiaTheme="minorEastAsia"/>
                <w:i/>
                <w:iCs/>
                <w:sz w:val="20"/>
                <w:szCs w:val="20"/>
              </w:rPr>
              <w:t xml:space="preserve">r – question about accessing NEXUS and PIP funds </w:t>
            </w:r>
          </w:p>
          <w:p w:rsidR="00CD04F4" w:rsidP="6AEEAEC9" w:rsidRDefault="00CD04F4" w14:paraId="3ABD8CA1" w14:textId="5CC95FBD">
            <w:pPr>
              <w:pStyle w:val="ListParagraph"/>
              <w:numPr>
                <w:ilvl w:val="2"/>
                <w:numId w:val="26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59B02305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We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have a list of everyone who has 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participated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for 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last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3 years.  Welcoming feedback on </w:t>
            </w:r>
            <w:r w:rsidRPr="6AEEAEC9" w:rsidR="3639DBAB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how to improve the form to make it more accessible and clear.</w:t>
            </w:r>
          </w:p>
          <w:p w:rsidR="00F0474C" w:rsidP="6AEEAEC9" w:rsidRDefault="000243A2" w14:paraId="0C9E2ECD" w14:textId="6D8DAB71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4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6AEEAEC9" w:rsidR="000243A2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</w:t>
            </w:r>
            <w:r w:rsidRPr="6AEEAEC9" w:rsidR="00F0474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page on Conference Funding Guidelines has </w:t>
            </w:r>
            <w:r w:rsidRPr="6AEEAEC9" w:rsidR="00F0474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additional</w:t>
            </w:r>
            <w:r w:rsidRPr="6AEEAEC9" w:rsidR="00F0474C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resources supporting Classified Professionals and Managers run through DO, often underutilized. </w:t>
            </w:r>
          </w:p>
          <w:p w:rsidR="000243A2" w:rsidP="000243A2" w:rsidRDefault="00F0474C" w14:paraId="70A9E7FB" w14:textId="7BADCBA8">
            <w:pPr>
              <w:pStyle w:val="ListParagraph"/>
              <w:numPr>
                <w:ilvl w:val="1"/>
                <w:numId w:val="22"/>
              </w:numPr>
              <w:rPr>
                <w:rFonts w:eastAsiaTheme="minorEastAsia"/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Robert and Justin will put on list Pathway / Learning communities that may want to attend conferences such as RP Group. </w:t>
            </w:r>
          </w:p>
          <w:p w:rsidR="00F0474C" w:rsidP="6AEEAEC9" w:rsidRDefault="006A50E7" w14:paraId="556AEEB5" w14:textId="454BEB05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COLEGAS – Rosa and Robert are attending</w:t>
            </w:r>
            <w:r w:rsidRPr="6AEEAEC9" w:rsidR="51948AEA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; sending out a message to recruit more.</w:t>
            </w:r>
          </w:p>
          <w:p w:rsidR="006A50E7" w:rsidP="6AEEAEC9" w:rsidRDefault="006A50E7" w14:paraId="575C964A" w14:textId="4DECD8AB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NCT English Department has </w:t>
            </w:r>
            <w:r w:rsidRPr="6AEEAEC9" w:rsidR="44177E0A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not 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put in requests for fund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i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ng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.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 </w:t>
            </w:r>
            <w:r w:rsidRPr="6AEEAEC9" w:rsidR="23E7EC0A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Justin will email English Department.</w:t>
            </w:r>
          </w:p>
          <w:p w:rsidR="006A50E7" w:rsidP="6AEEAEC9" w:rsidRDefault="006A50E7" w14:paraId="368C7EA0" w14:textId="19F877E7">
            <w:pPr>
              <w:pStyle w:val="ListParagraph"/>
              <w:numPr>
                <w:ilvl w:val="1"/>
                <w:numId w:val="22"/>
              </w:numPr>
              <w:rPr>
                <w:rFonts w:eastAsia="" w:eastAsiaTheme="minorEastAsia"/>
                <w:i w:val="1"/>
                <w:iCs w:val="1"/>
                <w:sz w:val="20"/>
                <w:szCs w:val="20"/>
              </w:rPr>
            </w:pP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Co</w:t>
            </w:r>
            <w:r w:rsidRPr="6AEEAEC9" w:rsidR="7E1DA613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u</w:t>
            </w:r>
            <w:r w:rsidRPr="6AEEAEC9" w:rsidR="006A50E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rtney – added Directors of Educational Technology for CA to list. The conference is 12/6 – 12/8. </w:t>
            </w:r>
          </w:p>
          <w:p w:rsidRPr="0037100B" w:rsidR="00E033B0" w:rsidP="004A4DBD" w:rsidRDefault="00FA0A70" w14:paraId="5C37F5CB" w14:textId="7855EAA2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Post-conference Report Process</w:t>
            </w:r>
          </w:p>
          <w:p w:rsidRPr="00355CB7" w:rsidR="0037100B" w:rsidP="004A4DBD" w:rsidRDefault="00FA0A70" w14:paraId="36AB8727" w14:textId="6FAA988C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Conference attendees are encouraged to share-out their experience at department meetings as testimonials of experience.</w:t>
            </w:r>
          </w:p>
          <w:p w:rsidRPr="00FA0A70" w:rsidR="00FF7068" w:rsidP="6AEEAEC9" w:rsidRDefault="00FA0A70" w14:paraId="76411F2C" w14:textId="3E4DF1DB">
            <w:pPr>
              <w:pStyle w:val="ListParagraph"/>
              <w:numPr>
                <w:ilvl w:val="2"/>
                <w:numId w:val="22"/>
              </w:numPr>
              <w:rPr>
                <w:i w:val="1"/>
                <w:iCs w:val="1"/>
                <w:sz w:val="20"/>
                <w:szCs w:val="20"/>
              </w:rPr>
            </w:pPr>
            <w:r w:rsidRPr="6AEEAEC9" w:rsidR="00FA0A70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How do we scale this to a broader audience?</w:t>
            </w:r>
            <w:r w:rsidRPr="6AEEAEC9" w:rsidR="25065204">
              <w:rPr>
                <w:i w:val="1"/>
                <w:iCs w:val="1"/>
                <w:sz w:val="20"/>
                <w:szCs w:val="20"/>
              </w:rPr>
              <w:t xml:space="preserve"> </w:t>
            </w:r>
            <w:r w:rsidRPr="6AEEAEC9" w:rsidR="25065204">
              <w:rPr>
                <w:i w:val="1"/>
                <w:iCs w:val="1"/>
                <w:sz w:val="20"/>
                <w:szCs w:val="20"/>
              </w:rPr>
              <w:t>How</w:t>
            </w:r>
            <w:r w:rsidRPr="6AEEAEC9" w:rsidR="25065204">
              <w:rPr>
                <w:i w:val="1"/>
                <w:iCs w:val="1"/>
                <w:sz w:val="20"/>
                <w:szCs w:val="20"/>
              </w:rPr>
              <w:t xml:space="preserve"> do we know that experiences are being shared?</w:t>
            </w:r>
          </w:p>
          <w:p w:rsidRPr="00355CB7" w:rsidR="00FA0A70" w:rsidP="6AEEAEC9" w:rsidRDefault="00E53F9C" w14:paraId="192A911C" w14:textId="03534B1A">
            <w:pPr>
              <w:pStyle w:val="ListParagraph"/>
              <w:numPr>
                <w:ilvl w:val="2"/>
                <w:numId w:val="22"/>
              </w:numPr>
              <w:rPr>
                <w:i w:val="1"/>
                <w:iCs w:val="1"/>
                <w:sz w:val="20"/>
                <w:szCs w:val="20"/>
              </w:rPr>
            </w:pPr>
            <w:r w:rsidRPr="6AEEAEC9" w:rsidR="00FA0A70">
              <w:rPr>
                <w:i w:val="1"/>
                <w:iCs w:val="1"/>
                <w:sz w:val="20"/>
                <w:szCs w:val="20"/>
              </w:rPr>
              <w:t>Starr has done “gift-pane</w:t>
            </w:r>
            <w:r w:rsidRPr="6AEEAEC9" w:rsidR="00E53F9C">
              <w:rPr>
                <w:i w:val="1"/>
                <w:iCs w:val="1"/>
                <w:sz w:val="20"/>
                <w:szCs w:val="20"/>
              </w:rPr>
              <w:t>l</w:t>
            </w:r>
            <w:r w:rsidRPr="6AEEAEC9" w:rsidR="00FA0A70">
              <w:rPr>
                <w:i w:val="1"/>
                <w:iCs w:val="1"/>
                <w:sz w:val="20"/>
                <w:szCs w:val="20"/>
              </w:rPr>
              <w:t>s” that have individual communications teachers share-out in 10 minutes about experience</w:t>
            </w:r>
            <w:r w:rsidRPr="6AEEAEC9" w:rsidR="00FA0A70">
              <w:rPr>
                <w:i w:val="1"/>
                <w:iCs w:val="1"/>
                <w:sz w:val="20"/>
                <w:szCs w:val="20"/>
              </w:rPr>
              <w:t xml:space="preserve">.  </w:t>
            </w:r>
            <w:r w:rsidRPr="6AEEAEC9" w:rsidR="00FA0A70">
              <w:rPr>
                <w:i w:val="1"/>
                <w:iCs w:val="1"/>
                <w:sz w:val="20"/>
                <w:szCs w:val="20"/>
              </w:rPr>
              <w:t>Maybe can be applie</w:t>
            </w:r>
            <w:r w:rsidRPr="6AEEAEC9" w:rsidR="249E02DD">
              <w:rPr>
                <w:i w:val="1"/>
                <w:iCs w:val="1"/>
                <w:sz w:val="20"/>
                <w:szCs w:val="20"/>
              </w:rPr>
              <w:t>d</w:t>
            </w:r>
            <w:r w:rsidRPr="6AEEAEC9" w:rsidR="00FA0A70">
              <w:rPr>
                <w:i w:val="1"/>
                <w:iCs w:val="1"/>
                <w:sz w:val="20"/>
                <w:szCs w:val="20"/>
              </w:rPr>
              <w:t xml:space="preserve"> to FLEX</w:t>
            </w:r>
          </w:p>
          <w:p w:rsidRPr="00355CB7" w:rsidR="00FA0A70" w:rsidP="6AEEAEC9" w:rsidRDefault="00E53F9C" w14:paraId="56D9E075" w14:textId="42F1259B">
            <w:pPr>
              <w:pStyle w:val="ListParagraph"/>
              <w:numPr>
                <w:ilvl w:val="2"/>
                <w:numId w:val="22"/>
              </w:numPr>
              <w:rPr>
                <w:i w:val="1"/>
                <w:iCs w:val="1"/>
                <w:sz w:val="20"/>
                <w:szCs w:val="20"/>
              </w:rPr>
            </w:pPr>
            <w:r w:rsidRPr="6AEEAEC9" w:rsidR="00E53F9C">
              <w:rPr>
                <w:i w:val="1"/>
                <w:iCs w:val="1"/>
                <w:sz w:val="20"/>
                <w:szCs w:val="20"/>
              </w:rPr>
              <w:t xml:space="preserve">Robert – we can make a 5 min. video or “gift-panel” a condition as part of approval. </w:t>
            </w:r>
          </w:p>
          <w:p w:rsidRPr="009D3D70" w:rsidR="00E033B0" w:rsidP="00A318CB" w:rsidRDefault="00E033B0" w14:paraId="1402806A" w14:textId="7799474D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2F3B18E7" w:rsidRDefault="00E033B0" w14:paraId="3F051649" w14:textId="63ADDD4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A67E2B" w:rsidRDefault="00E033B0" w14:paraId="4134B5B4" w14:textId="7D8E2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E2B834C" w14:textId="557D55B9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Pr="0037416D" w:rsidR="00E033B0" w:rsidTr="6AEEAEC9" w14:paraId="64D9DCBC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004A4DBD" w:rsidRDefault="00E033B0" w14:paraId="3121D80C" w14:textId="096BA7B6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:rsidRPr="00E9516A" w:rsidR="00FF7068" w:rsidP="004A4DBD" w:rsidRDefault="00E53F9C" w14:paraId="76C698B2" w14:textId="5666D16A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Jennifer Finnegan</w:t>
            </w:r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 xml:space="preserve"> from World Language department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(par</w:t>
            </w:r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>t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of NEXUS</w:t>
            </w:r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>, and using $1,000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)</w:t>
            </w:r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 xml:space="preserve"> interested in going to CALED-CAD Conference. Only $375. </w:t>
            </w:r>
            <w:proofErr w:type="gramStart"/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>plus</w:t>
            </w:r>
            <w:proofErr w:type="gramEnd"/>
            <w:r w:rsidR="00046EDF">
              <w:rPr>
                <w:rFonts w:eastAsiaTheme="minorEastAsia"/>
                <w:i/>
                <w:iCs/>
                <w:sz w:val="20"/>
                <w:szCs w:val="20"/>
              </w:rPr>
              <w:t xml:space="preserve"> mileage for driving.</w:t>
            </w:r>
          </w:p>
          <w:p w:rsidRPr="00046EDF" w:rsidR="00046EDF" w:rsidP="00046EDF" w:rsidRDefault="00046EDF" w14:paraId="6F7753E7" w14:textId="4FE1D070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Robert stating actionable items:</w:t>
            </w:r>
          </w:p>
          <w:p w:rsidR="00F505ED" w:rsidP="00046EDF" w:rsidRDefault="00046EDF" w14:paraId="2A446424" w14:textId="77777777">
            <w:pPr>
              <w:pStyle w:val="ListParagraph"/>
              <w:numPr>
                <w:ilvl w:val="2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Using NEXUS list </w:t>
            </w:r>
            <w:r w:rsidR="00F505ED">
              <w:rPr>
                <w:i/>
                <w:iCs/>
                <w:sz w:val="20"/>
                <w:szCs w:val="20"/>
              </w:rPr>
              <w:t>send everyone who has 1k to spend this academic year. Ask new instructors to submit your proposals and share timelines for meetings</w:t>
            </w:r>
          </w:p>
          <w:p w:rsidRPr="00046EDF" w:rsidR="00046EDF" w:rsidP="00046EDF" w:rsidRDefault="00F505ED" w14:paraId="250643B0" w14:textId="71B77E17">
            <w:pPr>
              <w:pStyle w:val="ListParagraph"/>
              <w:numPr>
                <w:ilvl w:val="2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Erlinda – talk to </w:t>
            </w:r>
            <w:r w:rsidR="00DC2A88">
              <w:rPr>
                <w:i/>
                <w:iCs/>
                <w:sz w:val="20"/>
                <w:szCs w:val="20"/>
              </w:rPr>
              <w:t>current group also to prepare them for next year.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046EDF">
              <w:rPr>
                <w:i/>
                <w:iCs/>
                <w:sz w:val="20"/>
                <w:szCs w:val="20"/>
              </w:rPr>
              <w:t xml:space="preserve"> </w:t>
            </w:r>
          </w:p>
          <w:p w:rsidRPr="00E9516A" w:rsidR="00355CB7" w:rsidP="004A4DBD" w:rsidRDefault="00DC2A88" w14:paraId="75BEC8E4" w14:textId="0BC4C261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Erlinda moves to approve the 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>CALED-CAD Conference</w:t>
            </w: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 request, Jeffrey seconds, all in favor </w:t>
            </w:r>
          </w:p>
          <w:p w:rsidRPr="00E9516A" w:rsidR="00355CB7" w:rsidP="004A4DBD" w:rsidRDefault="00DC2A88" w14:paraId="31FF2F9E" w14:textId="7369438B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 xml:space="preserve">Robert and Justin following up with Jennifer for reimbursement instructions. </w:t>
            </w:r>
          </w:p>
          <w:p w:rsidR="00E033B0" w:rsidP="004A4DBD" w:rsidRDefault="00E033B0" w14:paraId="4531B000" w14:textId="770724D6">
            <w:pPr>
              <w:pStyle w:val="ListParagraph"/>
              <w:numPr>
                <w:ilvl w:val="0"/>
                <w:numId w:val="22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:rsidRPr="00E9516A" w:rsidR="00E9516A" w:rsidP="004A4DBD" w:rsidRDefault="00DC2A88" w14:paraId="5F80A3A7" w14:textId="4AF5B3AD">
            <w:pPr>
              <w:pStyle w:val="ListParagraph"/>
              <w:numPr>
                <w:ilvl w:val="1"/>
                <w:numId w:val="22"/>
              </w:numPr>
              <w:rPr>
                <w:i/>
                <w:iCs/>
                <w:sz w:val="20"/>
                <w:szCs w:val="20"/>
              </w:rPr>
            </w:pPr>
            <w:r>
              <w:rPr>
                <w:rFonts w:eastAsiaTheme="minorEastAsia"/>
                <w:i/>
                <w:iCs/>
                <w:sz w:val="20"/>
                <w:szCs w:val="20"/>
              </w:rPr>
              <w:t>No items to review</w:t>
            </w:r>
          </w:p>
          <w:p w:rsidRPr="00EF78C4" w:rsidR="00E033B0" w:rsidP="00EF78C4" w:rsidRDefault="00E033B0" w14:paraId="175702E9" w14:textId="3E837B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005C2354" w:rsidRDefault="00E033B0" w14:paraId="5E22E3C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E033B0" w:rsidP="005C2354" w:rsidRDefault="00E033B0" w14:paraId="71039F2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:rsidR="00E033B0" w:rsidP="005C2354" w:rsidRDefault="00E033B0" w14:paraId="00176AEE" w14:textId="035103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DEE7A" w14:textId="248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272C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6AEEAEC9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A16030" w:rsidR="00E033B0" w:rsidP="000164A0" w:rsidRDefault="00E033B0" w14:paraId="14F60B17" w14:textId="313B195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Pr="0037416D" w:rsidR="00E033B0" w:rsidTr="6AEEAEC9" w14:paraId="47BCA68A" w14:textId="77777777">
        <w:trPr>
          <w:trHeight w:val="395"/>
        </w:trPr>
        <w:tc>
          <w:tcPr>
            <w:tcW w:w="8815" w:type="dxa"/>
            <w:tcMar/>
          </w:tcPr>
          <w:p w:rsidR="00E033B0" w:rsidP="004A4DBD" w:rsidRDefault="00E033B0" w14:paraId="38846FFE" w14:textId="33C82503">
            <w:pPr>
              <w:pStyle w:val="ListParagraph"/>
              <w:numPr>
                <w:ilvl w:val="0"/>
                <w:numId w:val="22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:rsidRPr="00E9516A" w:rsidR="00E9516A" w:rsidP="6AEEAEC9" w:rsidRDefault="00DC2A88" w14:paraId="01EEA59E" w14:textId="5656C80D">
            <w:pPr>
              <w:pStyle w:val="ListParagraph"/>
              <w:numPr>
                <w:ilvl w:val="1"/>
                <w:numId w:val="22"/>
              </w:numPr>
              <w:rPr>
                <w:i w:val="1"/>
                <w:iCs w:val="1"/>
                <w:sz w:val="20"/>
                <w:szCs w:val="20"/>
              </w:rPr>
            </w:pPr>
            <w:r w:rsidRPr="6AEEAEC9" w:rsidR="00DC2A88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26</w:t>
            </w:r>
            <w:r w:rsidRPr="6AEEAEC9" w:rsidR="00DC2A88">
              <w:rPr>
                <w:rFonts w:eastAsia="" w:eastAsiaTheme="minorEastAsia"/>
                <w:i w:val="1"/>
                <w:iCs w:val="1"/>
                <w:sz w:val="20"/>
                <w:szCs w:val="20"/>
                <w:vertAlign w:val="superscript"/>
              </w:rPr>
              <w:t>th</w:t>
            </w:r>
            <w:r w:rsidRPr="6AEEAEC9" w:rsidR="00DC2A88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of October, Steinb</w:t>
            </w:r>
            <w:r w:rsidRPr="6AEEAEC9" w:rsidR="42D63CE8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erg</w:t>
            </w:r>
            <w:r w:rsidRPr="6AEEAEC9" w:rsidR="00DC2A88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Hart will come to </w:t>
            </w:r>
            <w:r w:rsidRPr="6AEEAEC9" w:rsidR="2AF66027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>the committee</w:t>
            </w:r>
            <w:r w:rsidRPr="6AEEAEC9" w:rsidR="00DC2A88">
              <w:rPr>
                <w:rFonts w:eastAsia="" w:eastAsiaTheme="minorEastAsia"/>
                <w:i w:val="1"/>
                <w:iCs w:val="1"/>
                <w:sz w:val="20"/>
                <w:szCs w:val="20"/>
              </w:rPr>
              <w:t xml:space="preserve"> and interview us for 30min. as part of the Facilities Master Plan.</w:t>
            </w:r>
          </w:p>
          <w:p w:rsidRPr="00DC2A88" w:rsidR="00E9516A" w:rsidP="00DC2A88" w:rsidRDefault="00E9516A" w14:paraId="3A878930" w14:textId="2B1DC1A0">
            <w:pPr>
              <w:ind w:left="1080"/>
              <w:rPr>
                <w:i/>
                <w:iCs/>
                <w:sz w:val="20"/>
                <w:szCs w:val="20"/>
              </w:rPr>
            </w:pPr>
          </w:p>
          <w:p w:rsidRPr="00E9516A" w:rsidR="00E033B0" w:rsidP="00E9516A" w:rsidRDefault="00E033B0" w14:paraId="0BECEC47" w14:textId="77777777">
            <w:pPr>
              <w:rPr>
                <w:i/>
                <w:iCs/>
                <w:sz w:val="20"/>
                <w:szCs w:val="20"/>
              </w:rPr>
            </w:pPr>
          </w:p>
          <w:p w:rsidRPr="00E9516A" w:rsidR="00E9516A" w:rsidP="00E9516A" w:rsidRDefault="00DC2A88" w14:paraId="7DE6338C" w14:textId="5D1EA85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Erlinda Jones </w:t>
            </w:r>
            <w:r w:rsidRPr="00E9516A" w:rsidR="00E9516A">
              <w:rPr>
                <w:i/>
                <w:iCs/>
                <w:sz w:val="20"/>
                <w:szCs w:val="20"/>
              </w:rPr>
              <w:t xml:space="preserve">makes motion to adjourn meeting, </w:t>
            </w:r>
            <w:r>
              <w:rPr>
                <w:i/>
                <w:iCs/>
                <w:sz w:val="20"/>
                <w:szCs w:val="20"/>
              </w:rPr>
              <w:t>Courtney</w:t>
            </w:r>
            <w:r w:rsidR="00821EDA">
              <w:rPr>
                <w:i/>
                <w:iCs/>
                <w:sz w:val="20"/>
                <w:szCs w:val="20"/>
              </w:rPr>
              <w:t xml:space="preserve"> Diputado</w:t>
            </w:r>
            <w:r w:rsidRPr="00E9516A" w:rsidR="00E9516A">
              <w:rPr>
                <w:i/>
                <w:iCs/>
                <w:sz w:val="20"/>
                <w:szCs w:val="20"/>
              </w:rPr>
              <w:t xml:space="preserve"> seconds, all in favor. </w:t>
            </w:r>
          </w:p>
          <w:p w:rsidRPr="00E9516A" w:rsidR="00E9516A" w:rsidP="6AEEAEC9" w:rsidRDefault="00E9516A" w14:paraId="0F4DDA0A" w14:textId="1EE604CC">
            <w:pPr>
              <w:rPr>
                <w:i w:val="1"/>
                <w:iCs w:val="1"/>
                <w:sz w:val="20"/>
                <w:szCs w:val="20"/>
              </w:rPr>
            </w:pPr>
            <w:r w:rsidRPr="6AEEAEC9" w:rsidR="00E9516A">
              <w:rPr>
                <w:i w:val="1"/>
                <w:iCs w:val="1"/>
                <w:sz w:val="20"/>
                <w:szCs w:val="20"/>
              </w:rPr>
              <w:t xml:space="preserve">Meeting </w:t>
            </w:r>
            <w:r w:rsidRPr="6AEEAEC9" w:rsidR="7A1FB27B">
              <w:rPr>
                <w:i w:val="1"/>
                <w:iCs w:val="1"/>
                <w:sz w:val="20"/>
                <w:szCs w:val="20"/>
              </w:rPr>
              <w:t>adjourns</w:t>
            </w:r>
            <w:r w:rsidRPr="6AEEAEC9" w:rsidR="00E9516A">
              <w:rPr>
                <w:i w:val="1"/>
                <w:iCs w:val="1"/>
                <w:sz w:val="20"/>
                <w:szCs w:val="20"/>
              </w:rPr>
              <w:t xml:space="preserve"> at </w:t>
            </w:r>
            <w:r w:rsidRPr="6AEEAEC9" w:rsidR="00821EDA">
              <w:rPr>
                <w:i w:val="1"/>
                <w:iCs w:val="1"/>
                <w:sz w:val="20"/>
                <w:szCs w:val="20"/>
              </w:rPr>
              <w:t>3:10P</w:t>
            </w:r>
            <w:r w:rsidRPr="6AEEAEC9" w:rsidR="00E9516A">
              <w:rPr>
                <w:i w:val="1"/>
                <w:iCs w:val="1"/>
                <w:sz w:val="20"/>
                <w:szCs w:val="20"/>
              </w:rPr>
              <w:t xml:space="preserve">M. </w:t>
            </w:r>
          </w:p>
          <w:p w:rsidRPr="00E9516A" w:rsidR="00E9516A" w:rsidP="00E9516A" w:rsidRDefault="00E9516A" w14:paraId="6543A1CE" w14:textId="6467FF7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633C45" w:rsidRDefault="00E033B0" w14:paraId="6EA33825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37416D" w:rsidR="00E033B0" w:rsidP="000164A0" w:rsidRDefault="00E033B0" w14:paraId="06ADDB41" w14:textId="0CABB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Mar/>
          </w:tcPr>
          <w:p w:rsidRPr="0037416D" w:rsidR="00E033B0" w:rsidP="000164A0" w:rsidRDefault="00E033B0" w14:paraId="56C1112C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6AEEAEC9" w14:paraId="732CDDB4" w14:textId="77777777">
        <w:trPr>
          <w:trHeight w:val="326"/>
        </w:trPr>
        <w:tc>
          <w:tcPr>
            <w:tcW w:w="8815" w:type="dxa"/>
            <w:tcMar/>
          </w:tcPr>
          <w:p w:rsidRPr="005C2354" w:rsidR="00E033B0" w:rsidP="005C2354" w:rsidRDefault="00E033B0" w14:paraId="2B4DE901" w14:textId="7F769320">
            <w:pPr>
              <w:rPr>
                <w:sz w:val="20"/>
                <w:szCs w:val="20"/>
              </w:rPr>
            </w:pPr>
            <w:r w:rsidRPr="005C2354">
              <w:rPr>
                <w:b/>
                <w:sz w:val="20"/>
                <w:szCs w:val="20"/>
              </w:rPr>
              <w:t xml:space="preserve">Future Meeting </w:t>
            </w:r>
            <w:r>
              <w:rPr>
                <w:b/>
                <w:sz w:val="20"/>
                <w:szCs w:val="20"/>
              </w:rPr>
              <w:t>Date:</w:t>
            </w:r>
            <w:r w:rsidRPr="005C235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710" w:type="dxa"/>
            <w:tcMar/>
          </w:tcPr>
          <w:p w:rsidRPr="0037416D" w:rsidR="00E033B0" w:rsidP="000164A0" w:rsidRDefault="00E033B0" w14:paraId="66F0A247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E033B0" w:rsidP="000164A0" w:rsidRDefault="00E033B0" w14:paraId="388E729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0164A0" w:rsidRDefault="00E033B0" w14:paraId="4BCF84F7" w14:textId="77777777">
            <w:pPr>
              <w:rPr>
                <w:sz w:val="20"/>
                <w:szCs w:val="20"/>
              </w:rPr>
            </w:pPr>
          </w:p>
        </w:tc>
      </w:tr>
    </w:tbl>
    <w:p w:rsidR="0040598F" w:rsidP="00002414" w:rsidRDefault="0040598F" w14:paraId="1B424AC3" w14:textId="77777777"/>
    <w:sectPr w:rsidR="0040598F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0C7" w:rsidRDefault="00FF00C7" w14:paraId="5290E9BE" w14:textId="77777777">
      <w:pPr>
        <w:spacing w:after="0" w:line="240" w:lineRule="auto"/>
      </w:pPr>
      <w:r>
        <w:separator/>
      </w:r>
    </w:p>
  </w:endnote>
  <w:endnote w:type="continuationSeparator" w:id="0">
    <w:p w:rsidR="00FF00C7" w:rsidRDefault="00FF00C7" w14:paraId="40821D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0C7" w:rsidRDefault="00FF00C7" w14:paraId="7777866F" w14:textId="77777777">
      <w:pPr>
        <w:spacing w:after="0" w:line="240" w:lineRule="auto"/>
      </w:pPr>
      <w:r>
        <w:separator/>
      </w:r>
    </w:p>
  </w:footnote>
  <w:footnote w:type="continuationSeparator" w:id="0">
    <w:p w:rsidR="00FF00C7" w:rsidRDefault="00FF00C7" w14:paraId="5E4CF89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40598F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4B5CF8F"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4AB4603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40598F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DB34F7D"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702C664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5D6451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4C874E9"/>
    <w:multiLevelType w:val="hybridMultilevel"/>
    <w:tmpl w:val="556CA45A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B76D9"/>
    <w:multiLevelType w:val="hybridMultilevel"/>
    <w:tmpl w:val="8A9606D8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8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1F733702"/>
    <w:multiLevelType w:val="hybridMultilevel"/>
    <w:tmpl w:val="2A4AE81A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647E"/>
    <w:multiLevelType w:val="hybridMultilevel"/>
    <w:tmpl w:val="E23EEA84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6" w15:restartNumberingAfterBreak="0">
    <w:nsid w:val="41C31FB4"/>
    <w:multiLevelType w:val="hybridMultilevel"/>
    <w:tmpl w:val="033665B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4D70DC0"/>
    <w:multiLevelType w:val="hybridMultilevel"/>
    <w:tmpl w:val="632AB460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2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4"/>
  </w:num>
  <w:num w:numId="10">
    <w:abstractNumId w:val="8"/>
  </w:num>
  <w:num w:numId="11">
    <w:abstractNumId w:val="13"/>
  </w:num>
  <w:num w:numId="12">
    <w:abstractNumId w:val="20"/>
  </w:num>
  <w:num w:numId="13">
    <w:abstractNumId w:val="21"/>
  </w:num>
  <w:num w:numId="14">
    <w:abstractNumId w:val="17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2"/>
  </w:num>
  <w:num w:numId="18">
    <w:abstractNumId w:val="5"/>
  </w:num>
  <w:num w:numId="19">
    <w:abstractNumId w:val="2"/>
  </w:num>
  <w:num w:numId="20">
    <w:abstractNumId w:val="14"/>
  </w:num>
  <w:num w:numId="21">
    <w:abstractNumId w:val="7"/>
  </w:num>
  <w:num w:numId="22">
    <w:abstractNumId w:val="18"/>
  </w:num>
  <w:num w:numId="23">
    <w:abstractNumId w:val="11"/>
  </w:num>
  <w:num w:numId="24">
    <w:abstractNumId w:val="9"/>
  </w:num>
  <w:num w:numId="25">
    <w:abstractNumId w:val="16"/>
  </w:num>
  <w:num w:numId="26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199C"/>
    <w:rsid w:val="00002414"/>
    <w:rsid w:val="00005051"/>
    <w:rsid w:val="000067EC"/>
    <w:rsid w:val="000164A0"/>
    <w:rsid w:val="000243A2"/>
    <w:rsid w:val="00046EDF"/>
    <w:rsid w:val="000739DC"/>
    <w:rsid w:val="000A29C5"/>
    <w:rsid w:val="000E08C9"/>
    <w:rsid w:val="000E27C9"/>
    <w:rsid w:val="00101727"/>
    <w:rsid w:val="001608BA"/>
    <w:rsid w:val="0017031F"/>
    <w:rsid w:val="0020066F"/>
    <w:rsid w:val="002069AC"/>
    <w:rsid w:val="002078D2"/>
    <w:rsid w:val="00255CB4"/>
    <w:rsid w:val="00274B35"/>
    <w:rsid w:val="0029218E"/>
    <w:rsid w:val="00296ACE"/>
    <w:rsid w:val="002C6520"/>
    <w:rsid w:val="0032263B"/>
    <w:rsid w:val="00344E83"/>
    <w:rsid w:val="0035028C"/>
    <w:rsid w:val="00354B84"/>
    <w:rsid w:val="00355CB7"/>
    <w:rsid w:val="0037100B"/>
    <w:rsid w:val="0037416D"/>
    <w:rsid w:val="00377652"/>
    <w:rsid w:val="003A5400"/>
    <w:rsid w:val="003D77CB"/>
    <w:rsid w:val="0040598F"/>
    <w:rsid w:val="004308A4"/>
    <w:rsid w:val="004335DD"/>
    <w:rsid w:val="00457B30"/>
    <w:rsid w:val="004635D0"/>
    <w:rsid w:val="00495BA9"/>
    <w:rsid w:val="004A4DBD"/>
    <w:rsid w:val="004E09BD"/>
    <w:rsid w:val="005177C0"/>
    <w:rsid w:val="00517CF9"/>
    <w:rsid w:val="00563BE2"/>
    <w:rsid w:val="005815DA"/>
    <w:rsid w:val="005A6262"/>
    <w:rsid w:val="005C2354"/>
    <w:rsid w:val="005F20BA"/>
    <w:rsid w:val="00633C45"/>
    <w:rsid w:val="00646FC9"/>
    <w:rsid w:val="006A50E7"/>
    <w:rsid w:val="006B5E2E"/>
    <w:rsid w:val="006C5843"/>
    <w:rsid w:val="006D38A1"/>
    <w:rsid w:val="006D52A9"/>
    <w:rsid w:val="007051B7"/>
    <w:rsid w:val="00715764"/>
    <w:rsid w:val="00783C3A"/>
    <w:rsid w:val="007966C0"/>
    <w:rsid w:val="007C5F2C"/>
    <w:rsid w:val="007C76B2"/>
    <w:rsid w:val="00821EDA"/>
    <w:rsid w:val="00826215"/>
    <w:rsid w:val="008D30C1"/>
    <w:rsid w:val="008E1DCB"/>
    <w:rsid w:val="008F3D9F"/>
    <w:rsid w:val="009043CE"/>
    <w:rsid w:val="00960FDA"/>
    <w:rsid w:val="009738F6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2133"/>
    <w:rsid w:val="00A44234"/>
    <w:rsid w:val="00A61656"/>
    <w:rsid w:val="00A67E2B"/>
    <w:rsid w:val="00A7143B"/>
    <w:rsid w:val="00A81F43"/>
    <w:rsid w:val="00AA43E1"/>
    <w:rsid w:val="00AD57E0"/>
    <w:rsid w:val="00B54C6F"/>
    <w:rsid w:val="00BA10A6"/>
    <w:rsid w:val="00BA5559"/>
    <w:rsid w:val="00BB4926"/>
    <w:rsid w:val="00C00E41"/>
    <w:rsid w:val="00C06E96"/>
    <w:rsid w:val="00C32F5D"/>
    <w:rsid w:val="00C429B8"/>
    <w:rsid w:val="00CD04F4"/>
    <w:rsid w:val="00D006D5"/>
    <w:rsid w:val="00D52918"/>
    <w:rsid w:val="00D63800"/>
    <w:rsid w:val="00DC2A88"/>
    <w:rsid w:val="00DC4320"/>
    <w:rsid w:val="00DE72ED"/>
    <w:rsid w:val="00E033B0"/>
    <w:rsid w:val="00E53F9C"/>
    <w:rsid w:val="00E9516A"/>
    <w:rsid w:val="00EB31CA"/>
    <w:rsid w:val="00EE6CAC"/>
    <w:rsid w:val="00EF78C4"/>
    <w:rsid w:val="00F0474C"/>
    <w:rsid w:val="00F068DA"/>
    <w:rsid w:val="00F2125B"/>
    <w:rsid w:val="00F37E4B"/>
    <w:rsid w:val="00F505ED"/>
    <w:rsid w:val="00F574FA"/>
    <w:rsid w:val="00F839D8"/>
    <w:rsid w:val="00F83E94"/>
    <w:rsid w:val="00F93503"/>
    <w:rsid w:val="00FA0A70"/>
    <w:rsid w:val="00FA60CA"/>
    <w:rsid w:val="00FF00C7"/>
    <w:rsid w:val="00FF7068"/>
    <w:rsid w:val="017E498E"/>
    <w:rsid w:val="03D08D64"/>
    <w:rsid w:val="07C0DFEE"/>
    <w:rsid w:val="0F02CE82"/>
    <w:rsid w:val="0FC37714"/>
    <w:rsid w:val="117878CB"/>
    <w:rsid w:val="149F62F6"/>
    <w:rsid w:val="152FE24E"/>
    <w:rsid w:val="157413A5"/>
    <w:rsid w:val="16E4E405"/>
    <w:rsid w:val="1994BCE7"/>
    <w:rsid w:val="1B308D48"/>
    <w:rsid w:val="1BE1518A"/>
    <w:rsid w:val="1F20DFD2"/>
    <w:rsid w:val="2077A90E"/>
    <w:rsid w:val="23E7EC0A"/>
    <w:rsid w:val="249E02DD"/>
    <w:rsid w:val="25065204"/>
    <w:rsid w:val="26D8E71F"/>
    <w:rsid w:val="272BF1B7"/>
    <w:rsid w:val="2AF66027"/>
    <w:rsid w:val="2F3B18E7"/>
    <w:rsid w:val="34F580DE"/>
    <w:rsid w:val="35915F55"/>
    <w:rsid w:val="35A64520"/>
    <w:rsid w:val="35D666F9"/>
    <w:rsid w:val="3639DBAB"/>
    <w:rsid w:val="37421581"/>
    <w:rsid w:val="3A608DE6"/>
    <w:rsid w:val="3D7BF665"/>
    <w:rsid w:val="3EF332FA"/>
    <w:rsid w:val="3FD0C44E"/>
    <w:rsid w:val="40B20947"/>
    <w:rsid w:val="42D63CE8"/>
    <w:rsid w:val="43DB6C12"/>
    <w:rsid w:val="44177E0A"/>
    <w:rsid w:val="508EAD24"/>
    <w:rsid w:val="5192FE21"/>
    <w:rsid w:val="51948AEA"/>
    <w:rsid w:val="53758688"/>
    <w:rsid w:val="57218E87"/>
    <w:rsid w:val="59B02305"/>
    <w:rsid w:val="5B2D6697"/>
    <w:rsid w:val="5F8B56E9"/>
    <w:rsid w:val="609FBF15"/>
    <w:rsid w:val="687D8B97"/>
    <w:rsid w:val="6AD5866C"/>
    <w:rsid w:val="6AEEAEC9"/>
    <w:rsid w:val="6C045A8A"/>
    <w:rsid w:val="6D2151C1"/>
    <w:rsid w:val="6EADBB5E"/>
    <w:rsid w:val="73B6FAB3"/>
    <w:rsid w:val="7A1FB27B"/>
    <w:rsid w:val="7A5DB06C"/>
    <w:rsid w:val="7E1DA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2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130478910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5" ma:contentTypeDescription="Create a new document." ma:contentTypeScope="" ma:versionID="7be6d3fd6d58712cb04d6a8827f26a70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f8970df5473b6a22e14e678f286c1c03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946F7-8C35-465B-A62B-200DD1E536DC}">
  <ds:schemaRefs>
    <ds:schemaRef ds:uri="http://www.w3.org/XML/1998/namespace"/>
    <ds:schemaRef ds:uri="http://purl.org/dc/terms/"/>
    <ds:schemaRef ds:uri="http://purl.org/dc/elements/1.1/"/>
    <ds:schemaRef ds:uri="677c0b0e-9ef0-449b-abdd-fee7bd464963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aa8e7f28-033a-48e3-a0eb-493c4343a87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A1BCDC-B91F-4F57-81F4-BF0DC1EB0A1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3</cp:revision>
  <cp:lastPrinted>2017-11-22T18:37:00Z</cp:lastPrinted>
  <dcterms:created xsi:type="dcterms:W3CDTF">2023-10-19T00:04:00Z</dcterms:created>
  <dcterms:modified xsi:type="dcterms:W3CDTF">2023-10-19T20:30:31Z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