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A0" w:rsidP="2F3B18E7" w:rsidRDefault="2F3B18E7" w14:paraId="607A1824" w14:textId="4DE92AC5">
      <w:pPr>
        <w:spacing w:after="0"/>
        <w:jc w:val="center"/>
        <w:rPr>
          <w:b/>
          <w:bCs/>
        </w:rPr>
      </w:pPr>
      <w:r w:rsidRPr="2F3B18E7">
        <w:rPr>
          <w:b/>
          <w:bCs/>
        </w:rPr>
        <w:t>PDAC</w:t>
      </w:r>
      <w:r w:rsidR="00C56AA6">
        <w:rPr>
          <w:b/>
          <w:bCs/>
        </w:rPr>
        <w:t xml:space="preserve"> MINUTES</w:t>
      </w:r>
      <w:r w:rsidRPr="2F3B18E7">
        <w:rPr>
          <w:b/>
          <w:bCs/>
        </w:rPr>
        <w:t xml:space="preserve"> FOR </w:t>
      </w:r>
      <w:r w:rsidR="000164A0">
        <w:br/>
      </w:r>
      <w:r w:rsidR="00FE463B">
        <w:rPr>
          <w:b/>
          <w:bCs/>
        </w:rPr>
        <w:t>November 30</w:t>
      </w:r>
      <w:r w:rsidR="00C90D0B">
        <w:rPr>
          <w:b/>
          <w:bCs/>
        </w:rPr>
        <w:t>, 2023</w:t>
      </w:r>
    </w:p>
    <w:p w:rsidRPr="000164A0" w:rsidR="00AD57E0" w:rsidP="2F3B18E7" w:rsidRDefault="00AD57E0" w14:paraId="647701B6" w14:textId="4B572D35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Pr="009043CE" w:rsid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:rsidRPr="000164A0" w:rsidR="000164A0" w:rsidP="000164A0" w:rsidRDefault="00AD57E0" w14:paraId="46FD0ED2" w14:textId="656D3B65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w:history="1" r:id="rId10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:rsidR="2F3B18E7" w:rsidP="007C5F2C" w:rsidRDefault="2F3B18E7" w14:paraId="50563419" w14:textId="56B9EE16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C90D0B">
        <w:rPr>
          <w:bCs/>
        </w:rPr>
        <w:t>2:00PM – 3:00PM</w:t>
      </w:r>
    </w:p>
    <w:p w:rsidR="009043CE" w:rsidP="007C5F2C" w:rsidRDefault="009043CE" w14:paraId="2A3799B9" w14:textId="32111145">
      <w:pPr>
        <w:spacing w:after="0"/>
        <w:jc w:val="center"/>
        <w:rPr>
          <w:color w:val="000000" w:themeColor="text1"/>
        </w:rPr>
      </w:pPr>
    </w:p>
    <w:p w:rsidR="009043CE" w:rsidP="00A318CB" w:rsidRDefault="009043CE" w14:paraId="53D04D58" w14:textId="429C48BF">
      <w:pPr>
        <w:pStyle w:val="Heading4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Classified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Courtney Diputado, Robert Delgado, Jim Kolthoff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Faculty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Erlinda Jones, Jill Buettner, </w:t>
      </w:r>
      <w:r w:rsidR="002A5967">
        <w:rPr>
          <w:rFonts w:asciiTheme="minorHAnsi" w:hAnsiTheme="minorHAnsi" w:cstheme="minorHAnsi"/>
          <w:color w:val="222222"/>
        </w:rPr>
        <w:t>Star Steers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Managers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Rosa Armendariz, Jeffrey </w:t>
      </w:r>
      <w:proofErr w:type="spellStart"/>
      <w:r w:rsidRPr="009043CE">
        <w:rPr>
          <w:rFonts w:asciiTheme="minorHAnsi" w:hAnsiTheme="minorHAnsi" w:cstheme="minorHAnsi"/>
          <w:color w:val="222222"/>
        </w:rPr>
        <w:t>Benford</w:t>
      </w:r>
      <w:proofErr w:type="spellEnd"/>
      <w:r w:rsidR="00C90D0B">
        <w:rPr>
          <w:rFonts w:asciiTheme="minorHAnsi" w:hAnsiTheme="minorHAnsi" w:cstheme="minorHAnsi"/>
          <w:color w:val="222222"/>
        </w:rPr>
        <w:t xml:space="preserve">, </w:t>
      </w:r>
      <w:r w:rsidR="002A5967">
        <w:rPr>
          <w:rFonts w:asciiTheme="minorHAnsi" w:hAnsiTheme="minorHAnsi" w:cstheme="minorHAnsi"/>
          <w:color w:val="222222"/>
        </w:rPr>
        <w:t>A’kilah Moore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Students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</w:t>
      </w:r>
      <w:r w:rsidR="002A5967">
        <w:rPr>
          <w:rStyle w:val="Strong"/>
          <w:rFonts w:asciiTheme="minorHAnsi" w:hAnsiTheme="minorHAnsi" w:cstheme="minorHAnsi"/>
          <w:b w:val="0"/>
          <w:bCs w:val="0"/>
          <w:color w:val="222222"/>
        </w:rPr>
        <w:t>–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</w:t>
      </w:r>
      <w:r w:rsidR="002A5967">
        <w:rPr>
          <w:rFonts w:asciiTheme="minorHAnsi" w:hAnsiTheme="minorHAnsi" w:cstheme="minorHAnsi"/>
          <w:color w:val="222222"/>
        </w:rPr>
        <w:t>vacant</w:t>
      </w:r>
    </w:p>
    <w:p w:rsidRPr="002A5967" w:rsidR="002A5967" w:rsidP="002A5967" w:rsidRDefault="002A5967" w14:paraId="0A8E48D2" w14:textId="025CF128">
      <w:r>
        <w:t xml:space="preserve">Absent: Jeffrey </w:t>
      </w:r>
      <w:proofErr w:type="spellStart"/>
      <w:r>
        <w:t>Benford</w:t>
      </w:r>
      <w:proofErr w:type="spellEnd"/>
      <w:r>
        <w:t xml:space="preserve">, Jim Kolthoff </w:t>
      </w:r>
    </w:p>
    <w:p w:rsidRPr="007C5F2C" w:rsidR="007C5F2C" w:rsidP="007C5F2C" w:rsidRDefault="007C5F2C" w14:paraId="5CF243F5" w14:textId="77777777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Pr="0037416D" w:rsidR="00E033B0" w:rsidTr="0E131A61" w14:paraId="0E1E4649" w14:textId="77777777">
        <w:trPr>
          <w:trHeight w:val="467"/>
        </w:trPr>
        <w:tc>
          <w:tcPr>
            <w:tcW w:w="8815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0ED0DD83" w14:textId="77777777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DCE96DE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97ED042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11087FDF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Pr="0037416D" w:rsidR="00E033B0" w:rsidTr="0E131A61" w14:paraId="600C5ABD" w14:textId="77777777">
        <w:trPr>
          <w:trHeight w:val="516"/>
        </w:trPr>
        <w:tc>
          <w:tcPr>
            <w:tcW w:w="8815" w:type="dxa"/>
            <w:tcMar/>
          </w:tcPr>
          <w:p w:rsidR="00E033B0" w:rsidP="000164A0" w:rsidRDefault="00E033B0" w14:paraId="3A7B21CE" w14:textId="10AFA05F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:rsidRPr="0037416D" w:rsidR="009A6950" w:rsidP="002A5967" w:rsidRDefault="009A6950" w14:paraId="3CA80785" w14:textId="009FB098">
            <w:pPr>
              <w:numPr>
                <w:ilvl w:val="1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 Buettner</w:t>
            </w:r>
            <w:r w:rsidR="002A5967">
              <w:rPr>
                <w:sz w:val="20"/>
                <w:szCs w:val="20"/>
              </w:rPr>
              <w:t>, Rosa Armendariz, A’kilah Moore</w:t>
            </w:r>
            <w:r>
              <w:rPr>
                <w:sz w:val="20"/>
                <w:szCs w:val="20"/>
              </w:rPr>
              <w:t xml:space="preserve"> joining via Zoom</w:t>
            </w:r>
          </w:p>
          <w:p w:rsidR="00E033B0" w:rsidP="000164A0" w:rsidRDefault="00E033B0" w14:paraId="17924E82" w14:textId="36DEACEA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  <w:p w:rsidR="00C56AA6" w:rsidP="00C56AA6" w:rsidRDefault="00C56AA6" w14:paraId="179C644D" w14:textId="6657288D">
            <w:pPr>
              <w:numPr>
                <w:ilvl w:val="1"/>
                <w:numId w:val="1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PDAC Meeting of 2023, Feb</w:t>
            </w:r>
            <w:r w:rsidR="002A5967">
              <w:rPr>
                <w:sz w:val="20"/>
                <w:szCs w:val="20"/>
              </w:rPr>
              <w:t>.22</w:t>
            </w:r>
            <w:r>
              <w:rPr>
                <w:sz w:val="20"/>
                <w:szCs w:val="20"/>
              </w:rPr>
              <w:t>/March</w:t>
            </w:r>
            <w:r w:rsidR="002A5967">
              <w:rPr>
                <w:sz w:val="20"/>
                <w:szCs w:val="20"/>
              </w:rPr>
              <w:t>.28</w:t>
            </w:r>
            <w:r>
              <w:rPr>
                <w:sz w:val="20"/>
                <w:szCs w:val="20"/>
              </w:rPr>
              <w:t>/April</w:t>
            </w:r>
            <w:r w:rsidR="002A5967">
              <w:rPr>
                <w:sz w:val="20"/>
                <w:szCs w:val="20"/>
              </w:rPr>
              <w:t>.25</w:t>
            </w:r>
            <w:r>
              <w:rPr>
                <w:sz w:val="20"/>
                <w:szCs w:val="20"/>
              </w:rPr>
              <w:t xml:space="preserve"> meetings are set</w:t>
            </w:r>
          </w:p>
          <w:p w:rsidRPr="0037416D" w:rsidR="00C90D0B" w:rsidP="00C90D0B" w:rsidRDefault="00C90D0B" w14:paraId="20CCBA06" w14:textId="77777777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E033B0" w:rsidP="000164A0" w:rsidRDefault="00E033B0" w14:paraId="69093804" w14:textId="00F0B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  <w:tcMar/>
          </w:tcPr>
          <w:p w:rsidR="00E033B0" w:rsidP="000164A0" w:rsidRDefault="00E033B0" w14:paraId="21B6E85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Pr="0037416D" w:rsidR="00E033B0" w:rsidP="000164A0" w:rsidRDefault="00E033B0" w14:paraId="00FD1BBE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E033B0" w:rsidP="0037416D" w:rsidRDefault="00E033B0" w14:paraId="091E0757" w14:textId="77777777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E033B0" w:rsidTr="0E131A61" w14:paraId="477E7B64" w14:textId="77777777">
        <w:trPr>
          <w:trHeight w:val="237"/>
        </w:trPr>
        <w:tc>
          <w:tcPr>
            <w:tcW w:w="8815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5501EA99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4591E153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087DFCA8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645261CA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0E131A61" w14:paraId="1DB01EAE" w14:textId="77777777">
        <w:trPr>
          <w:trHeight w:val="568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C56AA6" w:rsidP="00C56AA6" w:rsidRDefault="00C56AA6" w14:paraId="5E250DF5" w14:textId="0EBAC64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Review and Approval of Agenda</w:t>
            </w:r>
          </w:p>
          <w:p w:rsidRPr="00E9516A" w:rsidR="00C56AA6" w:rsidP="00C56AA6" w:rsidRDefault="00C56AA6" w14:paraId="4E955442" w14:textId="4ED3C58F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D7B65">
              <w:rPr>
                <w:i/>
                <w:iCs/>
                <w:sz w:val="20"/>
                <w:szCs w:val="20"/>
              </w:rPr>
              <w:t xml:space="preserve">Erlinda </w:t>
            </w:r>
            <w:r>
              <w:rPr>
                <w:i/>
                <w:iCs/>
                <w:sz w:val="20"/>
                <w:szCs w:val="20"/>
              </w:rPr>
              <w:t>moves to approve</w:t>
            </w:r>
            <w:r w:rsidRPr="00E9516A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D7B65">
              <w:rPr>
                <w:i/>
                <w:iCs/>
                <w:sz w:val="20"/>
                <w:szCs w:val="20"/>
              </w:rPr>
              <w:t>Courtney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9516A">
              <w:rPr>
                <w:i/>
                <w:iCs/>
                <w:sz w:val="20"/>
                <w:szCs w:val="20"/>
              </w:rPr>
              <w:t xml:space="preserve">seconds, all in favor. </w:t>
            </w:r>
          </w:p>
          <w:p w:rsidR="00C56AA6" w:rsidP="00C56AA6" w:rsidRDefault="00C56AA6" w14:paraId="51CE432A" w14:textId="52DCE924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Approval of Minutes October/26/2023</w:t>
            </w:r>
          </w:p>
          <w:p w:rsidR="00C56AA6" w:rsidP="00C56AA6" w:rsidRDefault="00C56AA6" w14:paraId="70F37E44" w14:textId="05F1ED29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D7B65">
              <w:rPr>
                <w:i/>
                <w:iCs/>
                <w:sz w:val="20"/>
                <w:szCs w:val="20"/>
              </w:rPr>
              <w:t xml:space="preserve">Robert </w:t>
            </w:r>
            <w:r>
              <w:rPr>
                <w:i/>
                <w:iCs/>
                <w:sz w:val="20"/>
                <w:szCs w:val="20"/>
              </w:rPr>
              <w:t>moves to approve</w:t>
            </w:r>
            <w:r w:rsidRPr="00F2125B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1D7B65">
              <w:rPr>
                <w:rFonts w:cstheme="minorHAnsi"/>
                <w:i/>
                <w:iCs/>
                <w:sz w:val="20"/>
                <w:szCs w:val="20"/>
              </w:rPr>
              <w:t>Erlinda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seconds</w:t>
            </w:r>
            <w:r w:rsidRPr="00F2125B">
              <w:rPr>
                <w:rFonts w:cstheme="minorHAnsi"/>
                <w:i/>
                <w:iCs/>
                <w:sz w:val="20"/>
                <w:szCs w:val="20"/>
              </w:rPr>
              <w:t xml:space="preserve">, all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in favor</w:t>
            </w:r>
            <w:r w:rsidRPr="00F2125B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</w:p>
          <w:p w:rsidRPr="00C90D0B" w:rsidR="00E033B0" w:rsidP="00C90D0B" w:rsidRDefault="00E033B0" w14:paraId="60141D24" w14:textId="3172C2A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37416D" w:rsidR="00E033B0" w:rsidP="005C2354" w:rsidRDefault="00E033B0" w14:paraId="7EAEE510" w14:textId="56658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E08C9" w:rsidRDefault="00E033B0" w14:paraId="169681BD" w14:textId="7654D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164A0" w:rsidRDefault="00E033B0" w14:paraId="26FBEAEE" w14:textId="77777777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297079F0" w14:textId="69CA8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Pr="0037416D" w:rsidR="00E033B0" w:rsidP="000164A0" w:rsidRDefault="00E033B0" w14:paraId="5B02BEF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13659860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Pr="0037416D" w:rsidR="00E033B0" w:rsidP="00633C45" w:rsidRDefault="00E033B0" w14:paraId="3B9351A6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0E131A61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633C45" w:rsidR="00E033B0" w:rsidP="000164A0" w:rsidRDefault="00E033B0" w14:paraId="0895B6BB" w14:textId="6DA6C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</w:tr>
      <w:tr w:rsidRPr="0037416D" w:rsidR="00E033B0" w:rsidTr="0E131A61" w14:paraId="0658CA56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1D7B65" w:rsidP="00C90D0B" w:rsidRDefault="003D17B2" w14:paraId="188A6819" w14:textId="77777777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Aspen Prize Application Questions </w:t>
            </w:r>
          </w:p>
          <w:p w:rsidRPr="003D17B2" w:rsidR="003D17B2" w:rsidP="001D7B65" w:rsidRDefault="001D7B65" w14:paraId="23B816E2" w14:textId="66F94A5B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Rosa notes that we have already been nominated at one of 150 top colleges, and are now competing in larger prize</w:t>
            </w:r>
            <w:r w:rsidR="00647F15">
              <w:rPr>
                <w:rFonts w:eastAsiaTheme="minorEastAsia"/>
                <w:sz w:val="20"/>
                <w:szCs w:val="20"/>
              </w:rPr>
              <w:t xml:space="preserve"> application</w:t>
            </w:r>
            <w:r>
              <w:rPr>
                <w:rFonts w:eastAsiaTheme="minorEastAsia"/>
                <w:sz w:val="20"/>
                <w:szCs w:val="20"/>
              </w:rPr>
              <w:t xml:space="preserve"> with</w:t>
            </w:r>
            <w:r w:rsidR="00647F15">
              <w:rPr>
                <w:rFonts w:eastAsiaTheme="minorEastAsia"/>
                <w:sz w:val="20"/>
                <w:szCs w:val="20"/>
              </w:rPr>
              <w:t xml:space="preserve"> seven</w:t>
            </w:r>
            <w:r>
              <w:rPr>
                <w:rFonts w:eastAsiaTheme="minorEastAsia"/>
                <w:sz w:val="20"/>
                <w:szCs w:val="20"/>
              </w:rPr>
              <w:t xml:space="preserve"> institutional development and professional development </w:t>
            </w:r>
            <w:r w:rsidR="00647F15">
              <w:rPr>
                <w:rFonts w:eastAsiaTheme="minorEastAsia"/>
                <w:sz w:val="20"/>
                <w:szCs w:val="20"/>
              </w:rPr>
              <w:t xml:space="preserve">questions.  Diversity and EEO workshops for hiring committees are some of our requirements that help us stand out.  Feedback needed right away to put in draft </w:t>
            </w:r>
            <w:r>
              <w:rPr>
                <w:rFonts w:eastAsiaTheme="minorEastAsia"/>
                <w:sz w:val="20"/>
                <w:szCs w:val="20"/>
              </w:rPr>
              <w:t xml:space="preserve">  </w:t>
            </w:r>
          </w:p>
          <w:p w:rsidRPr="003D17B2" w:rsidR="00C90D0B" w:rsidP="00C90D0B" w:rsidRDefault="00E033B0" w14:paraId="212A826A" w14:textId="73B93877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 xml:space="preserve">Review of Conferences and Summits </w:t>
            </w:r>
          </w:p>
          <w:p w:rsidR="003D17B2" w:rsidP="003D17B2" w:rsidRDefault="00647F15" w14:paraId="0510629A" w14:textId="1DF0BC4C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Robert sharing update about </w:t>
            </w:r>
            <w:r w:rsidR="00B7151B">
              <w:rPr>
                <w:rFonts w:eastAsiaTheme="minorEastAsia"/>
                <w:sz w:val="20"/>
                <w:szCs w:val="20"/>
              </w:rPr>
              <w:t xml:space="preserve">email invites for </w:t>
            </w:r>
            <w:r w:rsidR="003D17B2">
              <w:rPr>
                <w:rFonts w:eastAsiaTheme="minorEastAsia"/>
                <w:sz w:val="20"/>
                <w:szCs w:val="20"/>
              </w:rPr>
              <w:t xml:space="preserve">NCORE, </w:t>
            </w:r>
            <w:r w:rsidR="007B307B">
              <w:rPr>
                <w:rFonts w:eastAsiaTheme="minorEastAsia"/>
                <w:sz w:val="20"/>
                <w:szCs w:val="20"/>
              </w:rPr>
              <w:t xml:space="preserve">African Diaspora Education Summit in </w:t>
            </w:r>
            <w:r w:rsidR="003D17B2">
              <w:rPr>
                <w:rFonts w:eastAsiaTheme="minorEastAsia"/>
                <w:sz w:val="20"/>
                <w:szCs w:val="20"/>
              </w:rPr>
              <w:t>Ghana, A2MEN</w:t>
            </w:r>
            <w:r w:rsidR="007B307B">
              <w:rPr>
                <w:rFonts w:eastAsiaTheme="minorEastAsia"/>
                <w:sz w:val="20"/>
                <w:szCs w:val="20"/>
              </w:rPr>
              <w:t>D</w:t>
            </w:r>
            <w:r w:rsidR="00B7151B">
              <w:rPr>
                <w:rFonts w:eastAsiaTheme="minorEastAsia"/>
                <w:sz w:val="20"/>
                <w:szCs w:val="20"/>
              </w:rPr>
              <w:t xml:space="preserve">.  This information has been included in our PD website and tiles show more information when you click on them.  You can also get the link to </w:t>
            </w:r>
            <w:r w:rsidR="00B7151B">
              <w:rPr>
                <w:rFonts w:eastAsiaTheme="minorEastAsia"/>
                <w:sz w:val="20"/>
                <w:szCs w:val="20"/>
              </w:rPr>
              <w:lastRenderedPageBreak/>
              <w:t xml:space="preserve">application.  This helps curtail constant email questions about conferences.  There is a rubric that will be followed to select applicants </w:t>
            </w:r>
            <w:r w:rsidR="00F823F8">
              <w:rPr>
                <w:rFonts w:eastAsiaTheme="minorEastAsia"/>
                <w:sz w:val="20"/>
                <w:szCs w:val="20"/>
              </w:rPr>
              <w:t xml:space="preserve">when reviewing submitted applications.  </w:t>
            </w:r>
          </w:p>
          <w:p w:rsidR="00F823F8" w:rsidP="003D17B2" w:rsidRDefault="00F823F8" w14:paraId="5AB0214B" w14:textId="19587F0F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Rosa – PIP was developed by a group of employees that got inspiration from NCORE</w:t>
            </w:r>
          </w:p>
          <w:p w:rsidRPr="003D17B2" w:rsidR="00F823F8" w:rsidP="003D17B2" w:rsidRDefault="00F823F8" w14:paraId="730F2342" w14:textId="52F928FF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NCORE </w:t>
            </w:r>
            <w:r w:rsidR="00401102">
              <w:rPr>
                <w:rFonts w:eastAsiaTheme="minorEastAsia"/>
                <w:sz w:val="20"/>
                <w:szCs w:val="20"/>
              </w:rPr>
              <w:t>– planning</w:t>
            </w:r>
            <w:r>
              <w:rPr>
                <w:rFonts w:eastAsiaTheme="minorEastAsia"/>
                <w:sz w:val="20"/>
                <w:szCs w:val="20"/>
              </w:rPr>
              <w:t xml:space="preserve"> to </w:t>
            </w:r>
            <w:r w:rsidR="007B307B">
              <w:rPr>
                <w:rFonts w:eastAsiaTheme="minorEastAsia"/>
                <w:sz w:val="20"/>
                <w:szCs w:val="20"/>
              </w:rPr>
              <w:t xml:space="preserve">send </w:t>
            </w:r>
            <w:r w:rsidR="00401102">
              <w:rPr>
                <w:rFonts w:eastAsiaTheme="minorEastAsia"/>
                <w:sz w:val="20"/>
                <w:szCs w:val="20"/>
              </w:rPr>
              <w:t>a team of</w:t>
            </w:r>
            <w:r>
              <w:rPr>
                <w:rFonts w:eastAsiaTheme="minorEastAsia"/>
                <w:sz w:val="20"/>
                <w:szCs w:val="20"/>
              </w:rPr>
              <w:t xml:space="preserve"> students </w:t>
            </w:r>
            <w:r w:rsidR="00401102">
              <w:rPr>
                <w:rFonts w:eastAsiaTheme="minorEastAsia"/>
                <w:sz w:val="20"/>
                <w:szCs w:val="20"/>
              </w:rPr>
              <w:t>and</w:t>
            </w:r>
            <w:bookmarkStart w:name="_GoBack" w:id="0"/>
            <w:bookmarkEnd w:id="0"/>
            <w:r>
              <w:rPr>
                <w:rFonts w:eastAsiaTheme="minorEastAsia"/>
                <w:sz w:val="20"/>
                <w:szCs w:val="20"/>
              </w:rPr>
              <w:t xml:space="preserve"> employees.</w:t>
            </w:r>
          </w:p>
          <w:p w:rsidR="003D17B2" w:rsidP="00C90D0B" w:rsidRDefault="003D17B2" w14:paraId="641CC279" w14:textId="7E5BC178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Conference Form Update / Edits</w:t>
            </w:r>
          </w:p>
          <w:p w:rsidR="00F823F8" w:rsidP="00F823F8" w:rsidRDefault="00F823F8" w14:paraId="211A26E3" w14:textId="00255FA8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Some rewording has happened with applications since they first went out.</w:t>
            </w:r>
          </w:p>
          <w:p w:rsidR="008D2FBF" w:rsidP="00F823F8" w:rsidRDefault="0097638C" w14:paraId="34D372A5" w14:textId="59EEB3D2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A</w:t>
            </w:r>
            <w:r w:rsidR="008D2FBF">
              <w:rPr>
                <w:rFonts w:eastAsiaTheme="minorEastAsia"/>
                <w:sz w:val="20"/>
                <w:szCs w:val="20"/>
              </w:rPr>
              <w:t xml:space="preserve"> conference evaluation form has been created to help </w:t>
            </w:r>
            <w:r>
              <w:rPr>
                <w:rFonts w:eastAsiaTheme="minorEastAsia"/>
                <w:sz w:val="20"/>
                <w:szCs w:val="20"/>
              </w:rPr>
              <w:t xml:space="preserve">people bring back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information </w:t>
            </w:r>
            <w:r w:rsidR="00D52851">
              <w:rPr>
                <w:rFonts w:eastAsiaTheme="minorEastAsia"/>
                <w:sz w:val="20"/>
                <w:szCs w:val="20"/>
              </w:rPr>
              <w:t>,</w:t>
            </w:r>
            <w:proofErr w:type="gramEnd"/>
            <w:r w:rsidR="00D52851">
              <w:rPr>
                <w:rFonts w:eastAsiaTheme="minorEastAsia"/>
                <w:sz w:val="20"/>
                <w:szCs w:val="20"/>
              </w:rPr>
              <w:t xml:space="preserve"> reflect on what they learned that is useful at our college </w:t>
            </w:r>
            <w:r>
              <w:rPr>
                <w:rFonts w:eastAsiaTheme="minorEastAsia"/>
                <w:sz w:val="20"/>
                <w:szCs w:val="20"/>
              </w:rPr>
              <w:t xml:space="preserve">and share out. This will help inform PDAC and applicants about </w:t>
            </w:r>
            <w:r w:rsidR="00D52851">
              <w:rPr>
                <w:rFonts w:eastAsiaTheme="minorEastAsia"/>
                <w:sz w:val="20"/>
                <w:szCs w:val="20"/>
              </w:rPr>
              <w:t>nature of conference and whether it is worth revisiting next time.  As a committee we can review evaluations (PDAC task list) and even ask attendees to share-out and check in to make it useful.</w:t>
            </w:r>
          </w:p>
          <w:p w:rsidRPr="009D3D70" w:rsidR="00C90D0B" w:rsidP="00D52851" w:rsidRDefault="00C90D0B" w14:paraId="1402806A" w14:textId="78B556D3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E033B0" w:rsidP="2F3B18E7" w:rsidRDefault="00E033B0" w14:paraId="7C4DDF8E" w14:textId="0EE50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Erlinda J/Robert</w:t>
            </w:r>
          </w:p>
          <w:p w:rsidR="00E033B0" w:rsidP="2F3B18E7" w:rsidRDefault="00E033B0" w14:paraId="3F051649" w14:textId="3869D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A67E2B" w:rsidRDefault="00E033B0" w14:paraId="4134B5B4" w14:textId="7D8E2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E2B834C" w14:textId="557D55B9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Pr="0037416D" w:rsidR="00E033B0" w:rsidTr="0E131A61" w14:paraId="64D9DCBC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E033B0" w:rsidP="005A6262" w:rsidRDefault="003D17B2" w14:paraId="4531B000" w14:textId="51A555F1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Spring-24 FLEX Voting Review</w:t>
            </w:r>
          </w:p>
          <w:p w:rsidR="00D52851" w:rsidP="00D52851" w:rsidRDefault="00D52851" w14:paraId="4EDEDCE3" w14:textId="6CA4C56F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total proposals on timeline. Sending completed FLEX schedule next week</w:t>
            </w:r>
          </w:p>
          <w:p w:rsidR="003D17B2" w:rsidP="005A6262" w:rsidRDefault="003D17B2" w14:paraId="6D99EC8E" w14:textId="0837151C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Planning and Follow-up</w:t>
            </w:r>
          </w:p>
          <w:p w:rsidR="00D52851" w:rsidP="00D52851" w:rsidRDefault="00D52851" w14:paraId="4431884C" w14:textId="58F147CF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January 17</w:t>
            </w:r>
            <w:r w:rsidRPr="00D52851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 the Student Union Conference Center speaking on Graphic the novel – featuring the authors as speakers.  Graphic </w:t>
            </w:r>
            <w:r w:rsidR="009D7C67">
              <w:rPr>
                <w:sz w:val="20"/>
                <w:szCs w:val="20"/>
              </w:rPr>
              <w:t>is about the influence of trauma on our brain and emotions.  Journalism and Library will cosponsor the event and will send out short articles to read in advance and to form a book club.</w:t>
            </w:r>
          </w:p>
          <w:p w:rsidRPr="00EF78C4" w:rsidR="00E033B0" w:rsidP="00EF78C4" w:rsidRDefault="00E033B0" w14:paraId="175702E9" w14:textId="3E837B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E033B0" w:rsidP="005C2354" w:rsidRDefault="00E033B0" w14:paraId="5E22E3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:rsidR="00E033B0" w:rsidP="005C2354" w:rsidRDefault="00E033B0" w14:paraId="71039F2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:rsidR="00E033B0" w:rsidP="005C2354" w:rsidRDefault="00E033B0" w14:paraId="00176AEE" w14:textId="035103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D6DEE7A" w14:textId="2489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D6272C6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0E131A61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A16030" w:rsidR="00E033B0" w:rsidP="000164A0" w:rsidRDefault="00E033B0" w14:paraId="14F60B17" w14:textId="313B195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Pr="0037416D" w:rsidR="00E033B0" w:rsidTr="0E131A61" w14:paraId="47BCA68A" w14:textId="77777777">
        <w:trPr>
          <w:trHeight w:val="395"/>
        </w:trPr>
        <w:tc>
          <w:tcPr>
            <w:tcW w:w="8815" w:type="dxa"/>
            <w:tcMar/>
          </w:tcPr>
          <w:p w:rsidR="00E033B0" w:rsidP="000E08C9" w:rsidRDefault="00E033B0" w14:paraId="38846FFE" w14:textId="508CE2B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Staff Reports</w:t>
            </w:r>
            <w:r w:rsidR="009D7C67">
              <w:rPr>
                <w:sz w:val="20"/>
                <w:szCs w:val="20"/>
              </w:rPr>
              <w:t xml:space="preserve"> and/or concluding items:</w:t>
            </w:r>
          </w:p>
          <w:p w:rsidR="009D7C67" w:rsidP="009D7C67" w:rsidRDefault="009D7C67" w14:paraId="03A51038" w14:textId="77777777">
            <w:pPr>
              <w:pStyle w:val="ListParagraph"/>
              <w:ind w:left="420"/>
              <w:rPr>
                <w:sz w:val="20"/>
                <w:szCs w:val="20"/>
              </w:rPr>
            </w:pPr>
          </w:p>
          <w:p w:rsidRPr="00E9516A" w:rsidR="009D7C67" w:rsidP="009D7C67" w:rsidRDefault="009D7C67" w14:paraId="1303CFC2" w14:textId="6392DAD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Erlinda </w:t>
            </w:r>
            <w:r w:rsidRPr="00E9516A">
              <w:rPr>
                <w:i/>
                <w:iCs/>
                <w:sz w:val="20"/>
                <w:szCs w:val="20"/>
              </w:rPr>
              <w:t>makes motion to adjourn meeting,</w:t>
            </w:r>
            <w:r>
              <w:rPr>
                <w:i/>
                <w:iCs/>
                <w:sz w:val="20"/>
                <w:szCs w:val="20"/>
              </w:rPr>
              <w:t xml:space="preserve"> Robert </w:t>
            </w:r>
            <w:r w:rsidRPr="00E9516A">
              <w:rPr>
                <w:i/>
                <w:iCs/>
                <w:sz w:val="20"/>
                <w:szCs w:val="20"/>
              </w:rPr>
              <w:t xml:space="preserve">seconds, all in favor. </w:t>
            </w:r>
          </w:p>
          <w:p w:rsidRPr="009D7C67" w:rsidR="009D7C67" w:rsidP="009D7C67" w:rsidRDefault="009D7C67" w14:paraId="30C6FB39" w14:textId="703E3ED0">
            <w:pPr>
              <w:rPr>
                <w:i/>
                <w:iCs/>
                <w:sz w:val="20"/>
                <w:szCs w:val="20"/>
              </w:rPr>
            </w:pPr>
            <w:r w:rsidRPr="00E9516A">
              <w:rPr>
                <w:i/>
                <w:iCs/>
                <w:sz w:val="20"/>
                <w:szCs w:val="20"/>
              </w:rPr>
              <w:t>Meeting adjourn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E9516A">
              <w:rPr>
                <w:i/>
                <w:iCs/>
                <w:sz w:val="20"/>
                <w:szCs w:val="20"/>
              </w:rPr>
              <w:t xml:space="preserve"> at </w:t>
            </w:r>
            <w:r>
              <w:rPr>
                <w:i/>
                <w:iCs/>
                <w:sz w:val="20"/>
                <w:szCs w:val="20"/>
              </w:rPr>
              <w:t>3:00 P</w:t>
            </w:r>
            <w:r w:rsidRPr="00E9516A">
              <w:rPr>
                <w:i/>
                <w:iCs/>
                <w:sz w:val="20"/>
                <w:szCs w:val="20"/>
              </w:rPr>
              <w:t xml:space="preserve">M. </w:t>
            </w:r>
          </w:p>
          <w:p w:rsidRPr="0037416D" w:rsidR="00E033B0" w:rsidP="00C06E96" w:rsidRDefault="00E033B0" w14:paraId="6543A1CE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E033B0" w:rsidP="00633C45" w:rsidRDefault="00E033B0" w14:paraId="6EA33825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0037416D" w:rsidR="00E033B0" w:rsidP="000164A0" w:rsidRDefault="00E033B0" w14:paraId="06ADDB41" w14:textId="0CABB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Mar/>
          </w:tcPr>
          <w:p w:rsidRPr="0037416D" w:rsidR="00E033B0" w:rsidP="000164A0" w:rsidRDefault="00E033B0" w14:paraId="56C1112C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E033B0" w:rsidTr="0E131A61" w14:paraId="732CDDB4" w14:textId="77777777">
        <w:trPr>
          <w:trHeight w:val="326"/>
        </w:trPr>
        <w:tc>
          <w:tcPr>
            <w:tcW w:w="8815" w:type="dxa"/>
            <w:tcMar/>
          </w:tcPr>
          <w:p w:rsidRPr="005C2354" w:rsidR="00E033B0" w:rsidP="0E131A61" w:rsidRDefault="00E033B0" w14:paraId="2B4DE901" w14:textId="3AF00F58">
            <w:pPr>
              <w:rPr>
                <w:b w:val="1"/>
                <w:bCs w:val="1"/>
                <w:sz w:val="20"/>
                <w:szCs w:val="20"/>
              </w:rPr>
            </w:pPr>
            <w:r w:rsidRPr="0E131A61" w:rsidR="00E033B0">
              <w:rPr>
                <w:b w:val="1"/>
                <w:bCs w:val="1"/>
                <w:sz w:val="20"/>
                <w:szCs w:val="20"/>
              </w:rPr>
              <w:t xml:space="preserve">Future Meeting </w:t>
            </w:r>
            <w:r w:rsidRPr="0E131A61" w:rsidR="00E033B0">
              <w:rPr>
                <w:b w:val="1"/>
                <w:bCs w:val="1"/>
                <w:sz w:val="20"/>
                <w:szCs w:val="20"/>
              </w:rPr>
              <w:t>Date:</w:t>
            </w:r>
            <w:r w:rsidRPr="0E131A61" w:rsidR="00E033B0">
              <w:rPr>
                <w:b w:val="1"/>
                <w:bCs w:val="1"/>
                <w:sz w:val="20"/>
                <w:szCs w:val="20"/>
              </w:rPr>
              <w:t xml:space="preserve">  </w:t>
            </w:r>
            <w:r w:rsidRPr="0E131A61" w:rsidR="50E99992">
              <w:rPr>
                <w:b w:val="1"/>
                <w:bCs w:val="1"/>
                <w:sz w:val="20"/>
                <w:szCs w:val="20"/>
              </w:rPr>
              <w:t>2/22/24</w:t>
            </w:r>
          </w:p>
        </w:tc>
        <w:tc>
          <w:tcPr>
            <w:tcW w:w="1710" w:type="dxa"/>
            <w:tcMar/>
          </w:tcPr>
          <w:p w:rsidRPr="0037416D" w:rsidR="00E033B0" w:rsidP="000164A0" w:rsidRDefault="00E033B0" w14:paraId="66F0A247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00E033B0" w:rsidP="000164A0" w:rsidRDefault="00E033B0" w14:paraId="388E729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E033B0" w:rsidP="000164A0" w:rsidRDefault="00E033B0" w14:paraId="4BCF84F7" w14:textId="77777777">
            <w:pPr>
              <w:rPr>
                <w:sz w:val="20"/>
                <w:szCs w:val="20"/>
              </w:rPr>
            </w:pPr>
          </w:p>
        </w:tc>
      </w:tr>
    </w:tbl>
    <w:p w:rsidR="001C219E" w:rsidP="00002414" w:rsidRDefault="001C219E" w14:paraId="1B424AC3" w14:textId="77777777"/>
    <w:sectPr w:rsidR="001C219E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6E" w:rsidRDefault="00CB706E" w14:paraId="3B01F877" w14:textId="77777777">
      <w:pPr>
        <w:spacing w:after="0" w:line="240" w:lineRule="auto"/>
      </w:pPr>
      <w:r>
        <w:separator/>
      </w:r>
    </w:p>
  </w:endnote>
  <w:endnote w:type="continuationSeparator" w:id="0">
    <w:p w:rsidR="00CB706E" w:rsidRDefault="00CB706E" w14:paraId="522C42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6E" w:rsidRDefault="00CB706E" w14:paraId="00E2AFFB" w14:textId="77777777">
      <w:pPr>
        <w:spacing w:after="0" w:line="240" w:lineRule="auto"/>
      </w:pPr>
      <w:r>
        <w:separator/>
      </w:r>
    </w:p>
  </w:footnote>
  <w:footnote w:type="continuationSeparator" w:id="0">
    <w:p w:rsidR="00CB706E" w:rsidRDefault="00CB706E" w14:paraId="0F4B40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E30EA07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66D29A9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5D6451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2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4D70DC0"/>
    <w:multiLevelType w:val="hybridMultilevel"/>
    <w:tmpl w:val="632AB460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"/>
  </w:num>
  <w:num w:numId="10">
    <w:abstractNumId w:val="6"/>
  </w:num>
  <w:num w:numId="11">
    <w:abstractNumId w:val="9"/>
  </w:num>
  <w:num w:numId="12">
    <w:abstractNumId w:val="15"/>
  </w:num>
  <w:num w:numId="13">
    <w:abstractNumId w:val="16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5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A29C5"/>
    <w:rsid w:val="000D4123"/>
    <w:rsid w:val="000E08C9"/>
    <w:rsid w:val="000E27C9"/>
    <w:rsid w:val="0017031F"/>
    <w:rsid w:val="001C219E"/>
    <w:rsid w:val="001D7B65"/>
    <w:rsid w:val="0020066F"/>
    <w:rsid w:val="002069AC"/>
    <w:rsid w:val="00255CB4"/>
    <w:rsid w:val="00274B35"/>
    <w:rsid w:val="0029218E"/>
    <w:rsid w:val="00296ACE"/>
    <w:rsid w:val="002A5967"/>
    <w:rsid w:val="002C6520"/>
    <w:rsid w:val="002D5BAA"/>
    <w:rsid w:val="00344E83"/>
    <w:rsid w:val="00354B84"/>
    <w:rsid w:val="0037416D"/>
    <w:rsid w:val="00377652"/>
    <w:rsid w:val="003A5400"/>
    <w:rsid w:val="003D17B2"/>
    <w:rsid w:val="00401102"/>
    <w:rsid w:val="004308A4"/>
    <w:rsid w:val="004635D0"/>
    <w:rsid w:val="005177C0"/>
    <w:rsid w:val="00563BE2"/>
    <w:rsid w:val="005A6262"/>
    <w:rsid w:val="005C2354"/>
    <w:rsid w:val="005F20BA"/>
    <w:rsid w:val="00633C45"/>
    <w:rsid w:val="00646FC9"/>
    <w:rsid w:val="00647F15"/>
    <w:rsid w:val="006B5E2E"/>
    <w:rsid w:val="006C5843"/>
    <w:rsid w:val="006D38A1"/>
    <w:rsid w:val="00715764"/>
    <w:rsid w:val="00783C3A"/>
    <w:rsid w:val="007B307B"/>
    <w:rsid w:val="007C5F2C"/>
    <w:rsid w:val="00826215"/>
    <w:rsid w:val="008D2FBF"/>
    <w:rsid w:val="008D30C1"/>
    <w:rsid w:val="009043CE"/>
    <w:rsid w:val="00960FDA"/>
    <w:rsid w:val="0097638C"/>
    <w:rsid w:val="009A084A"/>
    <w:rsid w:val="009A6950"/>
    <w:rsid w:val="009C7BBE"/>
    <w:rsid w:val="009D3D70"/>
    <w:rsid w:val="009D7C67"/>
    <w:rsid w:val="009F6BFC"/>
    <w:rsid w:val="00A07834"/>
    <w:rsid w:val="00A16030"/>
    <w:rsid w:val="00A27688"/>
    <w:rsid w:val="00A318CB"/>
    <w:rsid w:val="00A33754"/>
    <w:rsid w:val="00A44234"/>
    <w:rsid w:val="00A61656"/>
    <w:rsid w:val="00A67E2B"/>
    <w:rsid w:val="00A81F43"/>
    <w:rsid w:val="00AA43E1"/>
    <w:rsid w:val="00AD57E0"/>
    <w:rsid w:val="00B54C6F"/>
    <w:rsid w:val="00B7151B"/>
    <w:rsid w:val="00BA5559"/>
    <w:rsid w:val="00BB4926"/>
    <w:rsid w:val="00C06E96"/>
    <w:rsid w:val="00C32F5D"/>
    <w:rsid w:val="00C429B8"/>
    <w:rsid w:val="00C56AA6"/>
    <w:rsid w:val="00C90D0B"/>
    <w:rsid w:val="00CB706E"/>
    <w:rsid w:val="00D006D5"/>
    <w:rsid w:val="00D52851"/>
    <w:rsid w:val="00D52918"/>
    <w:rsid w:val="00D63800"/>
    <w:rsid w:val="00DC4320"/>
    <w:rsid w:val="00DE72ED"/>
    <w:rsid w:val="00E033B0"/>
    <w:rsid w:val="00EB31CA"/>
    <w:rsid w:val="00EE6CAC"/>
    <w:rsid w:val="00EF78C4"/>
    <w:rsid w:val="00F068DA"/>
    <w:rsid w:val="00F37E4B"/>
    <w:rsid w:val="00F823F8"/>
    <w:rsid w:val="00F839D8"/>
    <w:rsid w:val="00F83E94"/>
    <w:rsid w:val="00F93503"/>
    <w:rsid w:val="00FA60CA"/>
    <w:rsid w:val="00FE463B"/>
    <w:rsid w:val="0E131A61"/>
    <w:rsid w:val="2F3B18E7"/>
    <w:rsid w:val="50E99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130478910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946F7-8C35-465B-A62B-200DD1E536D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a8e7f28-033a-48e3-a0eb-493c4343a875"/>
    <ds:schemaRef ds:uri="http://purl.org/dc/elements/1.1/"/>
    <ds:schemaRef ds:uri="http://purl.org/dc/dcmitype/"/>
    <ds:schemaRef ds:uri="677c0b0e-9ef0-449b-abdd-fee7bd46496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753E4-F5EF-465B-B27E-919928824C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4</cp:revision>
  <cp:lastPrinted>2017-11-22T18:37:00Z</cp:lastPrinted>
  <dcterms:created xsi:type="dcterms:W3CDTF">2024-02-08T22:49:00Z</dcterms:created>
  <dcterms:modified xsi:type="dcterms:W3CDTF">2024-02-15T19:50:13Z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