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E921FF">
        <w:rPr>
          <w:sz w:val="40"/>
          <w:szCs w:val="32"/>
        </w:rPr>
        <w:t xml:space="preserve"> ENGLISH AS A SECOND LANGUAGE</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bookmarkStart w:id="0" w:name="_GoBack" w:colFirst="1" w:colLast="1"/>
            <w:r w:rsidRPr="00347FBE">
              <w:rPr>
                <w:color w:val="7030A0"/>
              </w:rPr>
              <w:t xml:space="preserve">Goal 1: </w:t>
            </w:r>
          </w:p>
          <w:p w:rsidR="00E921FF" w:rsidRDefault="00E921FF" w:rsidP="00661162">
            <w:pPr>
              <w:rPr>
                <w:color w:val="7030A0"/>
              </w:rPr>
            </w:pPr>
            <w:r w:rsidRPr="00E921FF">
              <w:rPr>
                <w:color w:val="7030A0"/>
              </w:rPr>
              <w:t>Implement/teach assess, and update/improve the new Noncredit and Credit ESL courses at both Pittsburg and Brentwood campuses, offering both day and evening night sections</w:t>
            </w:r>
          </w:p>
          <w:p w:rsidR="00E921FF" w:rsidRPr="00347FBE" w:rsidRDefault="00E921FF"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bookmarkEnd w:id="0"/>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E921FF" w:rsidRDefault="00E921FF" w:rsidP="00661162">
            <w:pPr>
              <w:rPr>
                <w:color w:val="7030A0"/>
              </w:rPr>
            </w:pPr>
            <w:r w:rsidRPr="00E921FF">
              <w:rPr>
                <w:color w:val="7030A0"/>
              </w:rPr>
              <w:t>Improve ESL course completion and success leading to certificate achievement and transitioning into chosen GE and/or CTE coursework</w:t>
            </w:r>
          </w:p>
          <w:p w:rsidR="00E921FF" w:rsidRPr="00347FBE" w:rsidRDefault="00E921FF"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E921FF" w:rsidRDefault="00E921FF" w:rsidP="00475708">
            <w:pPr>
              <w:rPr>
                <w:color w:val="7030A0"/>
              </w:rPr>
            </w:pPr>
            <w:r w:rsidRPr="00E921FF">
              <w:rPr>
                <w:color w:val="7030A0"/>
              </w:rPr>
              <w:t>Via the work of the AEBG Transition Specialist and the ESL Counselor, increase ESL student access, pathway identification, and equitable success.</w:t>
            </w:r>
          </w:p>
          <w:p w:rsidR="00E921FF" w:rsidRPr="00347FBE" w:rsidRDefault="00E921FF"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E921FF">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E921FF">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21FF"/>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516D-D9A9-45F2-BE2B-18FD1071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2019-10-10T23:33:00Z</dcterms:created>
  <dcterms:modified xsi:type="dcterms:W3CDTF">2019-10-10T23:33:00Z</dcterms:modified>
</cp:coreProperties>
</file>