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A1" w:rsidRDefault="00655CA1" w:rsidP="00655CA1">
      <w:pPr>
        <w:pStyle w:val="Title"/>
        <w:tabs>
          <w:tab w:val="left" w:pos="900"/>
        </w:tabs>
        <w:rPr>
          <w:smallCaps/>
          <w:sz w:val="36"/>
        </w:rPr>
      </w:pPr>
      <w:bookmarkStart w:id="0" w:name="_GoBack"/>
      <w:bookmarkEnd w:id="0"/>
      <w:r>
        <w:rPr>
          <w:smallCaps/>
          <w:sz w:val="36"/>
        </w:rPr>
        <w:t xml:space="preserve">Teaching &amp; Learning Committee </w:t>
      </w:r>
      <w:r w:rsidR="00196AD3">
        <w:rPr>
          <w:smallCaps/>
          <w:sz w:val="36"/>
        </w:rPr>
        <w:t>Minutes</w:t>
      </w:r>
    </w:p>
    <w:p w:rsidR="00655CA1" w:rsidRDefault="00655CA1" w:rsidP="00655CA1">
      <w:pPr>
        <w:jc w:val="center"/>
        <w:rPr>
          <w:caps/>
          <w:sz w:val="20"/>
        </w:rPr>
      </w:pPr>
      <w:r>
        <w:rPr>
          <w:caps/>
          <w:sz w:val="20"/>
        </w:rPr>
        <w:t xml:space="preserve">April 15, 2014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655CA1" w:rsidRDefault="00655CA1" w:rsidP="00655CA1">
      <w:pPr>
        <w:jc w:val="center"/>
        <w:rPr>
          <w:caps/>
          <w:sz w:val="20"/>
        </w:rPr>
      </w:pPr>
    </w:p>
    <w:p w:rsidR="00655CA1" w:rsidRDefault="00655CA1" w:rsidP="00196AD3">
      <w:pPr>
        <w:rPr>
          <w:caps/>
          <w:sz w:val="20"/>
        </w:rPr>
      </w:pPr>
    </w:p>
    <w:p w:rsidR="00243AE7" w:rsidRPr="00FD59FA" w:rsidRDefault="00F20581" w:rsidP="00243AE7">
      <w:pPr>
        <w:rPr>
          <w:caps/>
          <w:szCs w:val="24"/>
        </w:rPr>
      </w:pPr>
      <w:r w:rsidRPr="00FD59FA">
        <w:rPr>
          <w:szCs w:val="24"/>
        </w:rPr>
        <w:t xml:space="preserve">Attendees: Sara </w:t>
      </w:r>
      <w:proofErr w:type="spellStart"/>
      <w:r w:rsidRPr="00FD59FA">
        <w:rPr>
          <w:szCs w:val="24"/>
        </w:rPr>
        <w:t>Toruno</w:t>
      </w:r>
      <w:proofErr w:type="spellEnd"/>
      <w:r w:rsidRPr="00FD59FA">
        <w:rPr>
          <w:szCs w:val="24"/>
        </w:rPr>
        <w:t>-Con</w:t>
      </w:r>
      <w:r w:rsidR="00243AE7" w:rsidRPr="00FD59FA">
        <w:rPr>
          <w:szCs w:val="24"/>
        </w:rPr>
        <w:t>l</w:t>
      </w:r>
      <w:r w:rsidRPr="00FD59FA">
        <w:rPr>
          <w:szCs w:val="24"/>
        </w:rPr>
        <w:t>e</w:t>
      </w:r>
      <w:r w:rsidR="00243AE7" w:rsidRPr="00FD59FA">
        <w:rPr>
          <w:szCs w:val="24"/>
        </w:rPr>
        <w:t xml:space="preserve">y, A’kilah Moore, Natalie Hannum, Ruth </w:t>
      </w:r>
      <w:proofErr w:type="spellStart"/>
      <w:r w:rsidR="00243AE7" w:rsidRPr="00FD59FA">
        <w:rPr>
          <w:szCs w:val="24"/>
        </w:rPr>
        <w:t>Goodin</w:t>
      </w:r>
      <w:proofErr w:type="spellEnd"/>
      <w:r w:rsidR="00243AE7" w:rsidRPr="00FD59FA">
        <w:rPr>
          <w:szCs w:val="24"/>
        </w:rPr>
        <w:t>, Rosa Armendariz, Erlinda Jones, Nancy Ybarra, Tue Rust, Laurie Huffman</w:t>
      </w:r>
    </w:p>
    <w:p w:rsidR="00196AD3" w:rsidRPr="00FD59FA" w:rsidRDefault="00196AD3" w:rsidP="00243AE7">
      <w:pPr>
        <w:rPr>
          <w:cap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200"/>
        <w:gridCol w:w="4266"/>
      </w:tblGrid>
      <w:tr w:rsidR="00AB3099" w:rsidRPr="00FD59FA">
        <w:tc>
          <w:tcPr>
            <w:tcW w:w="1998" w:type="dxa"/>
          </w:tcPr>
          <w:p w:rsidR="00AB3099" w:rsidRPr="00FD59FA" w:rsidRDefault="00AB3099" w:rsidP="00196AD3">
            <w:pPr>
              <w:rPr>
                <w:b/>
                <w:szCs w:val="24"/>
              </w:rPr>
            </w:pPr>
            <w:r w:rsidRPr="00FD59FA">
              <w:rPr>
                <w:b/>
                <w:szCs w:val="24"/>
              </w:rPr>
              <w:t>Activity</w:t>
            </w:r>
          </w:p>
        </w:tc>
        <w:tc>
          <w:tcPr>
            <w:tcW w:w="7200" w:type="dxa"/>
          </w:tcPr>
          <w:p w:rsidR="00AB3099" w:rsidRPr="00FD59FA" w:rsidRDefault="00AB3099" w:rsidP="00196AD3">
            <w:pPr>
              <w:rPr>
                <w:b/>
                <w:szCs w:val="24"/>
              </w:rPr>
            </w:pPr>
            <w:r w:rsidRPr="00FD59FA">
              <w:rPr>
                <w:b/>
                <w:szCs w:val="24"/>
              </w:rPr>
              <w:t>Notes</w:t>
            </w:r>
          </w:p>
        </w:tc>
        <w:tc>
          <w:tcPr>
            <w:tcW w:w="4266" w:type="dxa"/>
          </w:tcPr>
          <w:p w:rsidR="00AB3099" w:rsidRPr="00FD59FA" w:rsidRDefault="00AB3099" w:rsidP="00196AD3">
            <w:pPr>
              <w:rPr>
                <w:b/>
                <w:szCs w:val="24"/>
              </w:rPr>
            </w:pPr>
            <w:r w:rsidRPr="00FD59FA">
              <w:rPr>
                <w:b/>
                <w:szCs w:val="24"/>
              </w:rPr>
              <w:t>Next Steps</w:t>
            </w:r>
          </w:p>
        </w:tc>
      </w:tr>
      <w:tr w:rsidR="00AB3099" w:rsidRPr="00FD59FA">
        <w:tc>
          <w:tcPr>
            <w:tcW w:w="1998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Announcements</w:t>
            </w:r>
          </w:p>
        </w:tc>
        <w:tc>
          <w:tcPr>
            <w:tcW w:w="7200" w:type="dxa"/>
          </w:tcPr>
          <w:p w:rsidR="00AB3099" w:rsidRPr="00FD59FA" w:rsidRDefault="00AB3099" w:rsidP="00AB3099">
            <w:pPr>
              <w:rPr>
                <w:szCs w:val="24"/>
              </w:rPr>
            </w:pPr>
            <w:r w:rsidRPr="00FD59FA">
              <w:rPr>
                <w:szCs w:val="24"/>
              </w:rPr>
              <w:t xml:space="preserve">A’kilah Moore, </w:t>
            </w:r>
            <w:proofErr w:type="spellStart"/>
            <w:r w:rsidRPr="00FD59FA">
              <w:rPr>
                <w:szCs w:val="24"/>
              </w:rPr>
              <w:t>Jamila</w:t>
            </w:r>
            <w:proofErr w:type="spellEnd"/>
            <w:r w:rsidRPr="00FD59FA">
              <w:rPr>
                <w:szCs w:val="24"/>
              </w:rPr>
              <w:t xml:space="preserve"> Stewart and Carla Rosas will take 4 students to eight HBCUs to get TAGs. This was a joint effort funded by </w:t>
            </w:r>
            <w:proofErr w:type="spellStart"/>
            <w:r w:rsidRPr="00FD59FA">
              <w:rPr>
                <w:szCs w:val="24"/>
              </w:rPr>
              <w:t>Exito</w:t>
            </w:r>
            <w:proofErr w:type="spellEnd"/>
            <w:r w:rsidRPr="00FD59FA">
              <w:rPr>
                <w:szCs w:val="24"/>
              </w:rPr>
              <w:t>, LMCAS and the Transfer Center. There will be a video!</w:t>
            </w:r>
          </w:p>
        </w:tc>
        <w:tc>
          <w:tcPr>
            <w:tcW w:w="4266" w:type="dxa"/>
          </w:tcPr>
          <w:p w:rsidR="00AB3099" w:rsidRPr="00FD59FA" w:rsidRDefault="00AB3099" w:rsidP="00196AD3">
            <w:pPr>
              <w:rPr>
                <w:szCs w:val="24"/>
              </w:rPr>
            </w:pPr>
          </w:p>
        </w:tc>
      </w:tr>
      <w:tr w:rsidR="00AB3099" w:rsidRPr="00FD59FA">
        <w:tc>
          <w:tcPr>
            <w:tcW w:w="1998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Agenda Approval</w:t>
            </w:r>
          </w:p>
        </w:tc>
        <w:tc>
          <w:tcPr>
            <w:tcW w:w="7200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Approved</w:t>
            </w:r>
          </w:p>
        </w:tc>
        <w:tc>
          <w:tcPr>
            <w:tcW w:w="4266" w:type="dxa"/>
          </w:tcPr>
          <w:p w:rsidR="00AB3099" w:rsidRPr="00FD59FA" w:rsidRDefault="00AB3099" w:rsidP="00196AD3">
            <w:pPr>
              <w:rPr>
                <w:szCs w:val="24"/>
              </w:rPr>
            </w:pPr>
          </w:p>
        </w:tc>
      </w:tr>
      <w:tr w:rsidR="00AB3099" w:rsidRPr="00FD59FA">
        <w:tc>
          <w:tcPr>
            <w:tcW w:w="1998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Minutes Approval</w:t>
            </w:r>
          </w:p>
        </w:tc>
        <w:tc>
          <w:tcPr>
            <w:tcW w:w="7200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March Minutes approved</w:t>
            </w:r>
          </w:p>
        </w:tc>
        <w:tc>
          <w:tcPr>
            <w:tcW w:w="4266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Feb minutes must still be approved</w:t>
            </w:r>
          </w:p>
        </w:tc>
      </w:tr>
      <w:tr w:rsidR="00AB3099" w:rsidRPr="00FD59FA">
        <w:tc>
          <w:tcPr>
            <w:tcW w:w="1998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Assessment Update</w:t>
            </w:r>
          </w:p>
        </w:tc>
        <w:tc>
          <w:tcPr>
            <w:tcW w:w="7200" w:type="dxa"/>
          </w:tcPr>
          <w:p w:rsidR="00AB3099" w:rsidRPr="00FD59FA" w:rsidRDefault="00AB3099" w:rsidP="00AB3099">
            <w:pPr>
              <w:rPr>
                <w:szCs w:val="24"/>
              </w:rPr>
            </w:pPr>
            <w:r w:rsidRPr="00FD59FA">
              <w:rPr>
                <w:szCs w:val="24"/>
              </w:rPr>
              <w:t>Christina Goff will continue to be PSLO/CSLO Coordinator in Fall 2015. LMC will continue to look for a coordinator with a contract that begins in Spring 2016. As per Kevin Horan’s mandate, representing management’s interest, this must be a FT faculty member.</w:t>
            </w:r>
          </w:p>
        </w:tc>
        <w:tc>
          <w:tcPr>
            <w:tcW w:w="4266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Continue searching for a FT faculty member to be a PSLO/CSLO Coordinator with a contract that begins in Spring 2016</w:t>
            </w:r>
          </w:p>
        </w:tc>
      </w:tr>
      <w:tr w:rsidR="00AB3099" w:rsidRPr="00FD59FA">
        <w:tc>
          <w:tcPr>
            <w:tcW w:w="1998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Accreditation Report Discussion</w:t>
            </w:r>
          </w:p>
        </w:tc>
        <w:tc>
          <w:tcPr>
            <w:tcW w:w="7200" w:type="dxa"/>
          </w:tcPr>
          <w:p w:rsidR="00AB3099" w:rsidRPr="00FD59FA" w:rsidRDefault="00AB3099" w:rsidP="00AB3099">
            <w:pPr>
              <w:rPr>
                <w:szCs w:val="24"/>
              </w:rPr>
            </w:pPr>
            <w:r w:rsidRPr="00FD59FA">
              <w:rPr>
                <w:szCs w:val="24"/>
              </w:rPr>
              <w:t>Postponed</w:t>
            </w:r>
          </w:p>
        </w:tc>
        <w:tc>
          <w:tcPr>
            <w:tcW w:w="4266" w:type="dxa"/>
          </w:tcPr>
          <w:p w:rsidR="00AB3099" w:rsidRPr="00FD59FA" w:rsidRDefault="00AB3099" w:rsidP="00196AD3">
            <w:pPr>
              <w:rPr>
                <w:szCs w:val="24"/>
              </w:rPr>
            </w:pPr>
            <w:r w:rsidRPr="00FD59FA">
              <w:rPr>
                <w:szCs w:val="24"/>
              </w:rPr>
              <w:t>Future agenda item</w:t>
            </w:r>
          </w:p>
        </w:tc>
      </w:tr>
      <w:tr w:rsidR="00AB3099" w:rsidRPr="00FD59FA">
        <w:tc>
          <w:tcPr>
            <w:tcW w:w="1998" w:type="dxa"/>
          </w:tcPr>
          <w:p w:rsidR="00AB3099" w:rsidRPr="00FD59FA" w:rsidRDefault="00AB3099" w:rsidP="00AB3099">
            <w:pPr>
              <w:rPr>
                <w:szCs w:val="24"/>
              </w:rPr>
            </w:pPr>
            <w:r w:rsidRPr="00FD59FA">
              <w:rPr>
                <w:szCs w:val="24"/>
              </w:rPr>
              <w:t>PDAC: Professional Learning Facilitator Position Proposal</w:t>
            </w:r>
          </w:p>
        </w:tc>
        <w:tc>
          <w:tcPr>
            <w:tcW w:w="7200" w:type="dxa"/>
          </w:tcPr>
          <w:p w:rsidR="00AB3099" w:rsidRPr="00FD59FA" w:rsidRDefault="00F20581" w:rsidP="00F20581">
            <w:pPr>
              <w:rPr>
                <w:szCs w:val="24"/>
              </w:rPr>
            </w:pPr>
            <w:r w:rsidRPr="00FD59FA">
              <w:rPr>
                <w:szCs w:val="24"/>
              </w:rPr>
              <w:t>Ruth, Erlinda and Rosa brought the proposal to TLC for review, insight and suggestions. There was strong history for this position, dating back to a previous accreditation report citing there was no central place for professional development. Through previous presidents, a 13-person representative steering committee, and recent campus-wide dialogue, the culmination of years of effort have resulted in this proposal. Ruth and the Economic Development Office secured 1 year funding for 50% release time. The position has a strong connection with TLC, PDAC and LPG.</w:t>
            </w:r>
          </w:p>
        </w:tc>
        <w:tc>
          <w:tcPr>
            <w:tcW w:w="4266" w:type="dxa"/>
          </w:tcPr>
          <w:p w:rsidR="00F20581" w:rsidRPr="00FD59FA" w:rsidRDefault="00BF226F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TLC suggested including specific language around closing the loop between assessment’s findings and associated professional learning</w:t>
            </w:r>
            <w:r w:rsidR="00F20581" w:rsidRPr="00FD59FA">
              <w:rPr>
                <w:szCs w:val="24"/>
              </w:rPr>
              <w:t xml:space="preserve"> and for connecting to statewide professional development. In terms of the spirit of the position, there was a suggestion to focus on efforts that would help institutionalize th</w:t>
            </w:r>
            <w:r w:rsidRPr="00FD59FA">
              <w:rPr>
                <w:szCs w:val="24"/>
              </w:rPr>
              <w:t>e position throughout the year.</w:t>
            </w:r>
          </w:p>
        </w:tc>
      </w:tr>
    </w:tbl>
    <w:p w:rsidR="00FD59FA" w:rsidRDefault="00FD59F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210"/>
        <w:gridCol w:w="990"/>
        <w:gridCol w:w="4266"/>
      </w:tblGrid>
      <w:tr w:rsidR="00FD59FA" w:rsidRPr="00FD59FA">
        <w:tc>
          <w:tcPr>
            <w:tcW w:w="1998" w:type="dxa"/>
          </w:tcPr>
          <w:p w:rsidR="00FD59FA" w:rsidRPr="00FD59FA" w:rsidRDefault="00FD59FA" w:rsidP="00A36B07">
            <w:pPr>
              <w:rPr>
                <w:b/>
                <w:szCs w:val="24"/>
              </w:rPr>
            </w:pPr>
            <w:r w:rsidRPr="00FD59FA">
              <w:rPr>
                <w:b/>
                <w:szCs w:val="24"/>
              </w:rPr>
              <w:lastRenderedPageBreak/>
              <w:t>Activity</w:t>
            </w:r>
          </w:p>
        </w:tc>
        <w:tc>
          <w:tcPr>
            <w:tcW w:w="7200" w:type="dxa"/>
            <w:gridSpan w:val="2"/>
          </w:tcPr>
          <w:p w:rsidR="00FD59FA" w:rsidRPr="00FD59FA" w:rsidRDefault="00FD59FA" w:rsidP="00A36B07">
            <w:pPr>
              <w:rPr>
                <w:b/>
                <w:szCs w:val="24"/>
              </w:rPr>
            </w:pPr>
            <w:r w:rsidRPr="00FD59FA">
              <w:rPr>
                <w:b/>
                <w:szCs w:val="24"/>
              </w:rPr>
              <w:t>Notes</w:t>
            </w:r>
          </w:p>
        </w:tc>
        <w:tc>
          <w:tcPr>
            <w:tcW w:w="4266" w:type="dxa"/>
          </w:tcPr>
          <w:p w:rsidR="00FD59FA" w:rsidRPr="00FD59FA" w:rsidRDefault="00FD59FA" w:rsidP="00A36B07">
            <w:pPr>
              <w:rPr>
                <w:b/>
                <w:szCs w:val="24"/>
              </w:rPr>
            </w:pPr>
            <w:r w:rsidRPr="00FD59FA">
              <w:rPr>
                <w:b/>
                <w:szCs w:val="24"/>
              </w:rPr>
              <w:t>Next Steps</w:t>
            </w:r>
          </w:p>
        </w:tc>
      </w:tr>
      <w:tr w:rsidR="00BF226F" w:rsidRPr="00FD59FA">
        <w:tc>
          <w:tcPr>
            <w:tcW w:w="1998" w:type="dxa"/>
          </w:tcPr>
          <w:p w:rsidR="00BF226F" w:rsidRPr="00FD59FA" w:rsidRDefault="00BF226F" w:rsidP="00AB3099">
            <w:pPr>
              <w:rPr>
                <w:szCs w:val="24"/>
              </w:rPr>
            </w:pPr>
            <w:r w:rsidRPr="00FD59FA">
              <w:rPr>
                <w:szCs w:val="24"/>
              </w:rPr>
              <w:t>Reassigned time procedures and evaluation</w:t>
            </w:r>
          </w:p>
        </w:tc>
        <w:tc>
          <w:tcPr>
            <w:tcW w:w="7200" w:type="dxa"/>
            <w:gridSpan w:val="2"/>
          </w:tcPr>
          <w:p w:rsidR="00BF226F" w:rsidRPr="00FD59FA" w:rsidRDefault="00BF226F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 xml:space="preserve">With the sudden change in management’s view of whom could apply for the PSLO/CSLO coordinator, there was a discussion around procedures and evaluation of reassigned time. </w:t>
            </w:r>
          </w:p>
        </w:tc>
        <w:tc>
          <w:tcPr>
            <w:tcW w:w="4266" w:type="dxa"/>
          </w:tcPr>
          <w:p w:rsidR="00BF226F" w:rsidRPr="00FD59FA" w:rsidRDefault="00BF226F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 xml:space="preserve">Request Richard Livingston </w:t>
            </w:r>
            <w:proofErr w:type="gramStart"/>
            <w:r w:rsidRPr="00FD59FA">
              <w:rPr>
                <w:szCs w:val="24"/>
              </w:rPr>
              <w:t>be</w:t>
            </w:r>
            <w:proofErr w:type="gramEnd"/>
            <w:r w:rsidRPr="00FD59FA">
              <w:rPr>
                <w:szCs w:val="24"/>
              </w:rPr>
              <w:t xml:space="preserve"> consulted about a process developed several years ago.</w:t>
            </w:r>
          </w:p>
        </w:tc>
      </w:tr>
      <w:tr w:rsidR="00BF226F" w:rsidRPr="00FD59FA">
        <w:tc>
          <w:tcPr>
            <w:tcW w:w="1998" w:type="dxa"/>
          </w:tcPr>
          <w:p w:rsidR="00BF226F" w:rsidRPr="00FD59FA" w:rsidRDefault="00BF226F" w:rsidP="00AB3099">
            <w:pPr>
              <w:rPr>
                <w:szCs w:val="24"/>
              </w:rPr>
            </w:pPr>
            <w:r w:rsidRPr="00FD59FA">
              <w:rPr>
                <w:szCs w:val="24"/>
              </w:rPr>
              <w:t>TLC webpage</w:t>
            </w:r>
          </w:p>
        </w:tc>
        <w:tc>
          <w:tcPr>
            <w:tcW w:w="7200" w:type="dxa"/>
            <w:gridSpan w:val="2"/>
          </w:tcPr>
          <w:p w:rsidR="00BF226F" w:rsidRPr="00FD59FA" w:rsidRDefault="00BF226F" w:rsidP="00BF226F">
            <w:pPr>
              <w:rPr>
                <w:szCs w:val="24"/>
              </w:rPr>
            </w:pPr>
          </w:p>
        </w:tc>
        <w:tc>
          <w:tcPr>
            <w:tcW w:w="4266" w:type="dxa"/>
          </w:tcPr>
          <w:p w:rsidR="00BF226F" w:rsidRPr="00FD59FA" w:rsidRDefault="00BF226F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Change Developmental Education to Basic Skills Committee</w:t>
            </w:r>
          </w:p>
        </w:tc>
      </w:tr>
      <w:tr w:rsidR="00BF226F" w:rsidRPr="00FD59FA">
        <w:tc>
          <w:tcPr>
            <w:tcW w:w="1998" w:type="dxa"/>
          </w:tcPr>
          <w:p w:rsidR="00BF226F" w:rsidRPr="00FD59FA" w:rsidRDefault="00BF226F" w:rsidP="00AB3099">
            <w:pPr>
              <w:rPr>
                <w:szCs w:val="24"/>
              </w:rPr>
            </w:pPr>
            <w:r w:rsidRPr="00FD59FA">
              <w:rPr>
                <w:szCs w:val="24"/>
              </w:rPr>
              <w:t>TLC Budget</w:t>
            </w:r>
          </w:p>
        </w:tc>
        <w:tc>
          <w:tcPr>
            <w:tcW w:w="7200" w:type="dxa"/>
            <w:gridSpan w:val="2"/>
          </w:tcPr>
          <w:p w:rsidR="00BF226F" w:rsidRPr="00FD59FA" w:rsidRDefault="00BF226F" w:rsidP="00BF226F">
            <w:pPr>
              <w:rPr>
                <w:szCs w:val="24"/>
              </w:rPr>
            </w:pPr>
          </w:p>
        </w:tc>
        <w:tc>
          <w:tcPr>
            <w:tcW w:w="4266" w:type="dxa"/>
          </w:tcPr>
          <w:p w:rsidR="00BF226F" w:rsidRPr="00FD59FA" w:rsidRDefault="00857F29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 xml:space="preserve">Reaffirm the budget with Bob </w:t>
            </w:r>
            <w:proofErr w:type="spellStart"/>
            <w:r w:rsidRPr="00FD59FA">
              <w:rPr>
                <w:szCs w:val="24"/>
              </w:rPr>
              <w:t>Kratochvil</w:t>
            </w:r>
            <w:proofErr w:type="spellEnd"/>
            <w:r w:rsidRPr="00FD59FA">
              <w:rPr>
                <w:szCs w:val="24"/>
              </w:rPr>
              <w:t xml:space="preserve"> and Kevin Horan</w:t>
            </w:r>
          </w:p>
        </w:tc>
      </w:tr>
      <w:tr w:rsidR="00857F29" w:rsidRPr="00FD59FA">
        <w:tc>
          <w:tcPr>
            <w:tcW w:w="1998" w:type="dxa"/>
          </w:tcPr>
          <w:p w:rsidR="00857F29" w:rsidRPr="00FD59FA" w:rsidRDefault="00857F29" w:rsidP="00AB3099">
            <w:pPr>
              <w:rPr>
                <w:szCs w:val="24"/>
              </w:rPr>
            </w:pPr>
            <w:r w:rsidRPr="00FD59FA">
              <w:rPr>
                <w:szCs w:val="24"/>
              </w:rPr>
              <w:t>Clerical Support</w:t>
            </w:r>
          </w:p>
        </w:tc>
        <w:tc>
          <w:tcPr>
            <w:tcW w:w="6210" w:type="dxa"/>
          </w:tcPr>
          <w:p w:rsidR="00857F29" w:rsidRPr="00FD59FA" w:rsidRDefault="00857F29" w:rsidP="00857F29">
            <w:pPr>
              <w:rPr>
                <w:szCs w:val="24"/>
              </w:rPr>
            </w:pPr>
            <w:r w:rsidRPr="00FD59FA">
              <w:rPr>
                <w:szCs w:val="24"/>
              </w:rPr>
              <w:t>“Clerical support” is mentioned throughout the TLP Position Paper, which was amended and passed by the Academic Senate and Shared Governance Council. It includes clerical support for “note-taking during TLC meetings, updating the website and other necessary clerical functions”, “</w:t>
            </w:r>
            <w:proofErr w:type="spellStart"/>
            <w:r w:rsidRPr="00FD59FA">
              <w:rPr>
                <w:szCs w:val="24"/>
              </w:rPr>
              <w:t>Handl</w:t>
            </w:r>
            <w:proofErr w:type="spellEnd"/>
            <w:r w:rsidRPr="00FD59FA">
              <w:rPr>
                <w:szCs w:val="24"/>
              </w:rPr>
              <w:t>[</w:t>
            </w:r>
            <w:proofErr w:type="spellStart"/>
            <w:r w:rsidRPr="00FD59FA">
              <w:rPr>
                <w:szCs w:val="24"/>
              </w:rPr>
              <w:t>ing</w:t>
            </w:r>
            <w:proofErr w:type="spellEnd"/>
            <w:r w:rsidRPr="00FD59FA">
              <w:rPr>
                <w:szCs w:val="24"/>
              </w:rPr>
              <w:t>] agenda, minutes and posting of TLC information to the website”, “</w:t>
            </w:r>
            <w:proofErr w:type="spellStart"/>
            <w:r w:rsidRPr="00FD59FA">
              <w:rPr>
                <w:szCs w:val="24"/>
              </w:rPr>
              <w:t>Compil</w:t>
            </w:r>
            <w:proofErr w:type="spellEnd"/>
            <w:r w:rsidRPr="00FD59FA">
              <w:rPr>
                <w:szCs w:val="24"/>
              </w:rPr>
              <w:t>[</w:t>
            </w:r>
            <w:proofErr w:type="spellStart"/>
            <w:r w:rsidRPr="00FD59FA">
              <w:rPr>
                <w:szCs w:val="24"/>
              </w:rPr>
              <w:t>ing</w:t>
            </w:r>
            <w:proofErr w:type="spellEnd"/>
            <w:r w:rsidRPr="00FD59FA">
              <w:rPr>
                <w:szCs w:val="24"/>
              </w:rPr>
              <w:t xml:space="preserve">] the institutional portfolio that documents assessment work on campus, and </w:t>
            </w:r>
            <w:proofErr w:type="spellStart"/>
            <w:r w:rsidRPr="00FD59FA">
              <w:rPr>
                <w:szCs w:val="24"/>
              </w:rPr>
              <w:t>mak</w:t>
            </w:r>
            <w:proofErr w:type="spellEnd"/>
            <w:r w:rsidRPr="00FD59FA">
              <w:rPr>
                <w:szCs w:val="24"/>
              </w:rPr>
              <w:t>[</w:t>
            </w:r>
            <w:proofErr w:type="spellStart"/>
            <w:r w:rsidRPr="00FD59FA">
              <w:rPr>
                <w:szCs w:val="24"/>
              </w:rPr>
              <w:t>ing</w:t>
            </w:r>
            <w:proofErr w:type="spellEnd"/>
            <w:r w:rsidRPr="00FD59FA">
              <w:rPr>
                <w:szCs w:val="24"/>
              </w:rPr>
              <w:t xml:space="preserve">] this portfolio available as evidence that the college is meeting accreditation standards, with clerical support as needed”. </w:t>
            </w:r>
          </w:p>
          <w:p w:rsidR="00857F29" w:rsidRPr="00FD59FA" w:rsidRDefault="00857F29" w:rsidP="00857F29">
            <w:pPr>
              <w:rPr>
                <w:szCs w:val="24"/>
              </w:rPr>
            </w:pPr>
          </w:p>
          <w:p w:rsidR="00857F29" w:rsidRPr="00FD59FA" w:rsidRDefault="00857F29" w:rsidP="00857F29">
            <w:pPr>
              <w:rPr>
                <w:szCs w:val="24"/>
              </w:rPr>
            </w:pPr>
            <w:r w:rsidRPr="00FD59FA">
              <w:rPr>
                <w:szCs w:val="24"/>
              </w:rPr>
              <w:t>TLC currently has no clerical support</w:t>
            </w:r>
          </w:p>
        </w:tc>
        <w:tc>
          <w:tcPr>
            <w:tcW w:w="5256" w:type="dxa"/>
            <w:gridSpan w:val="2"/>
          </w:tcPr>
          <w:p w:rsidR="00857F29" w:rsidRPr="00FD59FA" w:rsidRDefault="00857F29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Inquire with Kevin Horan as to how to receive clerical support</w:t>
            </w:r>
          </w:p>
        </w:tc>
      </w:tr>
      <w:tr w:rsidR="00857F29" w:rsidRPr="00FD59FA">
        <w:tc>
          <w:tcPr>
            <w:tcW w:w="1998" w:type="dxa"/>
          </w:tcPr>
          <w:p w:rsidR="00857F29" w:rsidRPr="00FD59FA" w:rsidRDefault="00857F29" w:rsidP="00AB3099">
            <w:pPr>
              <w:rPr>
                <w:szCs w:val="24"/>
              </w:rPr>
            </w:pPr>
            <w:r w:rsidRPr="00FD59FA">
              <w:rPr>
                <w:szCs w:val="24"/>
              </w:rPr>
              <w:t>Leadership Transitions</w:t>
            </w:r>
          </w:p>
        </w:tc>
        <w:tc>
          <w:tcPr>
            <w:tcW w:w="6210" w:type="dxa"/>
          </w:tcPr>
          <w:p w:rsidR="00857F29" w:rsidRPr="00FD59FA" w:rsidRDefault="00857F29" w:rsidP="00857F29">
            <w:pPr>
              <w:rPr>
                <w:szCs w:val="24"/>
              </w:rPr>
            </w:pPr>
            <w:r w:rsidRPr="00FD59FA">
              <w:rPr>
                <w:szCs w:val="24"/>
              </w:rPr>
              <w:t>Tue Rust ran the meeting and was “okayed” by the TLC. Concern was raised about not having a GE Chair and its implications. Concern was also raised about not having a 2-year contracted PSLO/CSLO coordinator.</w:t>
            </w:r>
          </w:p>
        </w:tc>
        <w:tc>
          <w:tcPr>
            <w:tcW w:w="5256" w:type="dxa"/>
            <w:gridSpan w:val="2"/>
          </w:tcPr>
          <w:p w:rsidR="00857F29" w:rsidRPr="00FD59FA" w:rsidRDefault="00857F29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Work with Academic Senate and management around FT faculty members and leadership.</w:t>
            </w:r>
          </w:p>
        </w:tc>
      </w:tr>
    </w:tbl>
    <w:p w:rsidR="00857F29" w:rsidRPr="00FD59FA" w:rsidRDefault="00857F29">
      <w:pPr>
        <w:rPr>
          <w:b/>
          <w:szCs w:val="24"/>
        </w:rPr>
      </w:pPr>
    </w:p>
    <w:p w:rsidR="00FD59FA" w:rsidRDefault="00FD59FA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243AE7" w:rsidRPr="00FD59FA" w:rsidRDefault="00BF226F" w:rsidP="00196AD3">
      <w:pPr>
        <w:rPr>
          <w:b/>
          <w:szCs w:val="24"/>
        </w:rPr>
      </w:pPr>
      <w:r w:rsidRPr="00FD59FA">
        <w:rPr>
          <w:b/>
          <w:szCs w:val="24"/>
        </w:rPr>
        <w:t>Future Items</w:t>
      </w:r>
    </w:p>
    <w:p w:rsidR="00BF226F" w:rsidRPr="00FD59FA" w:rsidRDefault="00BF226F" w:rsidP="00196AD3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6"/>
        <w:gridCol w:w="10098"/>
      </w:tblGrid>
      <w:tr w:rsidR="00BF226F" w:rsidRPr="00FD59FA">
        <w:tc>
          <w:tcPr>
            <w:tcW w:w="3366" w:type="dxa"/>
          </w:tcPr>
          <w:p w:rsidR="00BF226F" w:rsidRPr="00FD59FA" w:rsidRDefault="00BF226F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Discussion on GE, GE Chair, ISLOs, and TLC</w:t>
            </w:r>
          </w:p>
        </w:tc>
        <w:tc>
          <w:tcPr>
            <w:tcW w:w="10098" w:type="dxa"/>
          </w:tcPr>
          <w:p w:rsidR="00BF226F" w:rsidRPr="00FD59FA" w:rsidRDefault="00BF226F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There seemed to be opportunity for clarity and improvement with respect to the roles of GE and TLC Chair. This is closely linked to ISLO creation and assessment.</w:t>
            </w:r>
          </w:p>
        </w:tc>
      </w:tr>
      <w:tr w:rsidR="00BF226F" w:rsidRPr="00FD59FA">
        <w:tc>
          <w:tcPr>
            <w:tcW w:w="3366" w:type="dxa"/>
          </w:tcPr>
          <w:p w:rsidR="00BF226F" w:rsidRPr="00FD59FA" w:rsidRDefault="00BF226F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Reassigned time</w:t>
            </w:r>
          </w:p>
        </w:tc>
        <w:tc>
          <w:tcPr>
            <w:tcW w:w="10098" w:type="dxa"/>
          </w:tcPr>
          <w:p w:rsidR="00BF226F" w:rsidRPr="00FD59FA" w:rsidRDefault="00BF226F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See above minutes. Create a space to have Richard help TLC offer management advice on how to more effectively manage reassigned time.</w:t>
            </w:r>
          </w:p>
        </w:tc>
      </w:tr>
      <w:tr w:rsidR="00BF226F" w:rsidRPr="00FD59FA">
        <w:tc>
          <w:tcPr>
            <w:tcW w:w="3366" w:type="dxa"/>
          </w:tcPr>
          <w:p w:rsidR="00BF226F" w:rsidRPr="00FD59FA" w:rsidRDefault="00857F29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Clerical Support</w:t>
            </w:r>
          </w:p>
        </w:tc>
        <w:tc>
          <w:tcPr>
            <w:tcW w:w="10098" w:type="dxa"/>
          </w:tcPr>
          <w:p w:rsidR="00BF226F" w:rsidRPr="00FD59FA" w:rsidRDefault="00857F29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Formally be provided with clerical support through, most likely, side meetings with VP of Instructor, Kevin Horan</w:t>
            </w:r>
          </w:p>
        </w:tc>
      </w:tr>
      <w:tr w:rsidR="00857F29" w:rsidRPr="00FD59FA">
        <w:tc>
          <w:tcPr>
            <w:tcW w:w="3366" w:type="dxa"/>
          </w:tcPr>
          <w:p w:rsidR="00857F29" w:rsidRPr="00FD59FA" w:rsidRDefault="00FD59FA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TLP Handbook</w:t>
            </w:r>
          </w:p>
        </w:tc>
        <w:tc>
          <w:tcPr>
            <w:tcW w:w="10098" w:type="dxa"/>
          </w:tcPr>
          <w:p w:rsidR="00857F29" w:rsidRPr="00FD59FA" w:rsidRDefault="00857F29" w:rsidP="00FD59FA">
            <w:pPr>
              <w:rPr>
                <w:szCs w:val="24"/>
              </w:rPr>
            </w:pPr>
          </w:p>
        </w:tc>
      </w:tr>
      <w:tr w:rsidR="00FD59FA" w:rsidRPr="00FD59FA">
        <w:tc>
          <w:tcPr>
            <w:tcW w:w="3366" w:type="dxa"/>
          </w:tcPr>
          <w:p w:rsidR="00FD59FA" w:rsidRPr="00FD59FA" w:rsidRDefault="00FD59FA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Online Resources</w:t>
            </w:r>
          </w:p>
        </w:tc>
        <w:tc>
          <w:tcPr>
            <w:tcW w:w="10098" w:type="dxa"/>
          </w:tcPr>
          <w:p w:rsidR="00FD59FA" w:rsidRPr="00FD59FA" w:rsidRDefault="00FD59FA" w:rsidP="00FD59FA">
            <w:pPr>
              <w:rPr>
                <w:szCs w:val="24"/>
              </w:rPr>
            </w:pPr>
          </w:p>
        </w:tc>
      </w:tr>
      <w:tr w:rsidR="00FD59FA" w:rsidRPr="00FD59FA">
        <w:tc>
          <w:tcPr>
            <w:tcW w:w="3366" w:type="dxa"/>
          </w:tcPr>
          <w:p w:rsidR="00FD59FA" w:rsidRPr="00FD59FA" w:rsidRDefault="00FD59FA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Updating the website</w:t>
            </w:r>
          </w:p>
        </w:tc>
        <w:tc>
          <w:tcPr>
            <w:tcW w:w="10098" w:type="dxa"/>
          </w:tcPr>
          <w:p w:rsidR="00FD59FA" w:rsidRPr="00FD59FA" w:rsidRDefault="00FD59FA" w:rsidP="00FD59FA">
            <w:pPr>
              <w:rPr>
                <w:szCs w:val="24"/>
              </w:rPr>
            </w:pPr>
          </w:p>
        </w:tc>
      </w:tr>
      <w:tr w:rsidR="00FD59FA" w:rsidRPr="00FD59FA">
        <w:tc>
          <w:tcPr>
            <w:tcW w:w="3366" w:type="dxa"/>
          </w:tcPr>
          <w:p w:rsidR="00FD59FA" w:rsidRPr="00FD59FA" w:rsidRDefault="00FD59FA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P-drive</w:t>
            </w:r>
          </w:p>
        </w:tc>
        <w:tc>
          <w:tcPr>
            <w:tcW w:w="10098" w:type="dxa"/>
          </w:tcPr>
          <w:p w:rsidR="00FD59FA" w:rsidRPr="00FD59FA" w:rsidRDefault="00FD59FA" w:rsidP="00FD59FA">
            <w:pPr>
              <w:rPr>
                <w:szCs w:val="24"/>
              </w:rPr>
            </w:pPr>
            <w:r w:rsidRPr="00FD59FA">
              <w:rPr>
                <w:szCs w:val="24"/>
              </w:rPr>
              <w:t>(</w:t>
            </w:r>
            <w:proofErr w:type="spellStart"/>
            <w:r w:rsidRPr="00FD59FA">
              <w:rPr>
                <w:szCs w:val="24"/>
              </w:rPr>
              <w:t>CurricuNET</w:t>
            </w:r>
            <w:proofErr w:type="spellEnd"/>
            <w:r w:rsidRPr="00FD59FA">
              <w:rPr>
                <w:szCs w:val="24"/>
              </w:rPr>
              <w:t xml:space="preserve"> META Assessment archive)</w:t>
            </w:r>
          </w:p>
        </w:tc>
      </w:tr>
      <w:tr w:rsidR="00FD59FA" w:rsidRPr="00FD59FA">
        <w:tc>
          <w:tcPr>
            <w:tcW w:w="3366" w:type="dxa"/>
          </w:tcPr>
          <w:p w:rsidR="00FD59FA" w:rsidRPr="00FD59FA" w:rsidRDefault="00FD59FA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Revising SLO reporting forms</w:t>
            </w:r>
          </w:p>
        </w:tc>
        <w:tc>
          <w:tcPr>
            <w:tcW w:w="10098" w:type="dxa"/>
          </w:tcPr>
          <w:p w:rsidR="00FD59FA" w:rsidRPr="00FD59FA" w:rsidRDefault="00FD59FA" w:rsidP="00FD59FA">
            <w:pPr>
              <w:rPr>
                <w:szCs w:val="24"/>
              </w:rPr>
            </w:pPr>
          </w:p>
        </w:tc>
      </w:tr>
      <w:tr w:rsidR="00FD59FA" w:rsidRPr="00FD59FA">
        <w:tc>
          <w:tcPr>
            <w:tcW w:w="3366" w:type="dxa"/>
          </w:tcPr>
          <w:p w:rsidR="00FD59FA" w:rsidRPr="00FD59FA" w:rsidRDefault="00FD59FA" w:rsidP="00BF226F">
            <w:pPr>
              <w:rPr>
                <w:szCs w:val="24"/>
              </w:rPr>
            </w:pPr>
            <w:r w:rsidRPr="00FD59FA">
              <w:rPr>
                <w:szCs w:val="24"/>
              </w:rPr>
              <w:t>Responding to PD needs around assessment</w:t>
            </w:r>
          </w:p>
        </w:tc>
        <w:tc>
          <w:tcPr>
            <w:tcW w:w="10098" w:type="dxa"/>
          </w:tcPr>
          <w:p w:rsidR="00FD59FA" w:rsidRPr="00FD59FA" w:rsidRDefault="00FD59FA" w:rsidP="00FD59FA">
            <w:pPr>
              <w:rPr>
                <w:szCs w:val="24"/>
              </w:rPr>
            </w:pPr>
          </w:p>
        </w:tc>
      </w:tr>
    </w:tbl>
    <w:p w:rsidR="00655CA1" w:rsidRPr="00FD59FA" w:rsidRDefault="00655CA1" w:rsidP="00FD59FA">
      <w:pPr>
        <w:ind w:left="720"/>
        <w:rPr>
          <w:szCs w:val="24"/>
        </w:rPr>
      </w:pPr>
    </w:p>
    <w:sectPr w:rsidR="00655CA1" w:rsidRPr="00FD59FA" w:rsidSect="00243AE7">
      <w:pgSz w:w="15840" w:h="12240" w:orient="landscape"/>
      <w:pgMar w:top="1800" w:right="1296" w:bottom="180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799"/>
    <w:multiLevelType w:val="hybridMultilevel"/>
    <w:tmpl w:val="E260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A1"/>
    <w:rsid w:val="00196AD3"/>
    <w:rsid w:val="00243AE7"/>
    <w:rsid w:val="00655CA1"/>
    <w:rsid w:val="00844551"/>
    <w:rsid w:val="00857F29"/>
    <w:rsid w:val="00AB3099"/>
    <w:rsid w:val="00BF226F"/>
    <w:rsid w:val="00C53B6A"/>
    <w:rsid w:val="00CE3D18"/>
    <w:rsid w:val="00F20581"/>
    <w:rsid w:val="00FD59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A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5CA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55CA1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55CA1"/>
    <w:pPr>
      <w:ind w:left="720"/>
      <w:contextualSpacing/>
    </w:pPr>
  </w:style>
  <w:style w:type="table" w:styleId="TableGrid">
    <w:name w:val="Table Grid"/>
    <w:basedOn w:val="TableNormal"/>
    <w:uiPriority w:val="59"/>
    <w:rsid w:val="0024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857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A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5CA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55CA1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55CA1"/>
    <w:pPr>
      <w:ind w:left="720"/>
      <w:contextualSpacing/>
    </w:pPr>
  </w:style>
  <w:style w:type="table" w:styleId="TableGrid">
    <w:name w:val="Table Grid"/>
    <w:basedOn w:val="TableNormal"/>
    <w:uiPriority w:val="59"/>
    <w:rsid w:val="0024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85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Laurie Huffman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Los Medanos College</cp:lastModifiedBy>
  <cp:revision>2</cp:revision>
  <dcterms:created xsi:type="dcterms:W3CDTF">2014-05-09T21:06:00Z</dcterms:created>
  <dcterms:modified xsi:type="dcterms:W3CDTF">2014-05-09T21:06:00Z</dcterms:modified>
</cp:coreProperties>
</file>