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209"/>
        <w:gridCol w:w="1451"/>
        <w:gridCol w:w="1048"/>
        <w:gridCol w:w="4961"/>
      </w:tblGrid>
      <w:tr w:rsidR="00846C97" w:rsidRPr="004752BD" w:rsidTr="004752BD">
        <w:tc>
          <w:tcPr>
            <w:tcW w:w="110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Facilitator</w:t>
            </w:r>
            <w:r w:rsidR="00474676" w:rsidRPr="004752BD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Time</w:t>
            </w:r>
            <w:r w:rsidR="008B2B32" w:rsidRPr="004752BD">
              <w:rPr>
                <w:rFonts w:ascii="Arial" w:hAnsi="Arial" w:cs="Arial"/>
                <w:b/>
              </w:rPr>
              <w:t xml:space="preserve"> in</w:t>
            </w:r>
          </w:p>
          <w:p w:rsidR="008B2B32" w:rsidRPr="004752BD" w:rsidRDefault="008B2B32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Follow up Notes</w:t>
            </w:r>
          </w:p>
        </w:tc>
      </w:tr>
      <w:tr w:rsidR="00E45D99" w:rsidRPr="004752BD" w:rsidTr="00E45D99">
        <w:tc>
          <w:tcPr>
            <w:tcW w:w="5000" w:type="pct"/>
            <w:gridSpan w:val="5"/>
            <w:shd w:val="clear" w:color="auto" w:fill="auto"/>
          </w:tcPr>
          <w:p w:rsidR="00E45D99" w:rsidRPr="007839F2" w:rsidRDefault="00E45D99" w:rsidP="00E45D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39F2">
              <w:rPr>
                <w:rFonts w:ascii="Arial" w:hAnsi="Arial" w:cs="Arial"/>
                <w:color w:val="000000"/>
              </w:rPr>
              <w:t xml:space="preserve">Present: A’kilah Moore, Anthony Hailey, Brad Nash, Cecil Nasworthy, Cindy McGrath, Clayton Smith, Colleen Ralston, Daniel Ramirez, David Wahl, Debbie Wilson, Durwynne Hsieh, Eileen Valenzuela, Estelle Davi, </w:t>
            </w:r>
            <w:r w:rsidRPr="007839F2">
              <w:rPr>
                <w:rFonts w:ascii="Arial" w:hAnsi="Arial"/>
                <w:color w:val="000000"/>
              </w:rPr>
              <w:t xml:space="preserve">Frances Moy, </w:t>
            </w:r>
            <w:r w:rsidRPr="007839F2">
              <w:rPr>
                <w:rFonts w:ascii="Arial" w:hAnsi="Arial" w:cs="Arial"/>
                <w:color w:val="000000"/>
              </w:rPr>
              <w:t xml:space="preserve">Frank Dorritie, Gail Newman, </w:t>
            </w:r>
            <w:r w:rsidRPr="007839F2">
              <w:rPr>
                <w:rFonts w:ascii="Arial" w:hAnsi="Arial"/>
                <w:color w:val="000000"/>
              </w:rPr>
              <w:t xml:space="preserve">Jancy Rickman, </w:t>
            </w:r>
            <w:r w:rsidR="001F2367">
              <w:rPr>
                <w:rFonts w:ascii="Arial" w:hAnsi="Arial" w:cs="Arial"/>
                <w:color w:val="000000"/>
              </w:rPr>
              <w:t>Jill DeStefano, Joanne Bent</w:t>
            </w:r>
            <w:r w:rsidRPr="007839F2">
              <w:rPr>
                <w:rFonts w:ascii="Arial" w:hAnsi="Arial" w:cs="Arial"/>
                <w:color w:val="000000"/>
              </w:rPr>
              <w:t xml:space="preserve">, Julie </w:t>
            </w:r>
            <w:proofErr w:type="spellStart"/>
            <w:r w:rsidRPr="007839F2">
              <w:rPr>
                <w:rFonts w:ascii="Arial" w:hAnsi="Arial" w:cs="Arial"/>
                <w:color w:val="000000"/>
              </w:rPr>
              <w:t>VonBergen</w:t>
            </w:r>
            <w:proofErr w:type="spellEnd"/>
            <w:r w:rsidRPr="007839F2">
              <w:rPr>
                <w:rFonts w:ascii="Arial" w:hAnsi="Arial" w:cs="Arial"/>
                <w:color w:val="000000"/>
              </w:rPr>
              <w:t xml:space="preserve">, Kasey Gardner, Ken Alexander, Kevin Horan, </w:t>
            </w:r>
            <w:r w:rsidR="004111A6" w:rsidRPr="000367F8">
              <w:rPr>
                <w:rFonts w:ascii="Arial" w:hAnsi="Arial" w:cs="Arial"/>
                <w:color w:val="000000"/>
              </w:rPr>
              <w:t xml:space="preserve">Kimberly Wentworth, </w:t>
            </w:r>
            <w:r w:rsidR="004111A6">
              <w:rPr>
                <w:rFonts w:ascii="Arial" w:hAnsi="Arial" w:cs="Arial"/>
                <w:color w:val="000000"/>
              </w:rPr>
              <w:t xml:space="preserve">Kiran Kamath, </w:t>
            </w:r>
            <w:r w:rsidRPr="007839F2">
              <w:rPr>
                <w:rFonts w:ascii="Arial" w:hAnsi="Arial" w:cs="Arial"/>
                <w:color w:val="000000"/>
              </w:rPr>
              <w:t>Laurie Huffman, Len Price, Marco Godinez, Mike Grillo, Nancy Whitman, Nancy Ybarra, Nick Garcia, Pam Perfumo, Richard Villegas, Robin Armour, Scott Cabral, Silvester Henderson, Susie Hansen, William Cruz.</w:t>
            </w:r>
          </w:p>
          <w:p w:rsidR="00E45D99" w:rsidRPr="004752BD" w:rsidRDefault="00E45D99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FF7" w:rsidRPr="00080FF7" w:rsidTr="004752BD">
        <w:tc>
          <w:tcPr>
            <w:tcW w:w="1100" w:type="pct"/>
            <w:shd w:val="clear" w:color="auto" w:fill="auto"/>
          </w:tcPr>
          <w:p w:rsidR="00080FF7" w:rsidRPr="00080FF7" w:rsidRDefault="00080FF7" w:rsidP="00475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FF7">
              <w:rPr>
                <w:rFonts w:ascii="Arial" w:hAnsi="Arial" w:cs="Arial"/>
              </w:rPr>
              <w:t>Welcome</w:t>
            </w:r>
          </w:p>
        </w:tc>
        <w:tc>
          <w:tcPr>
            <w:tcW w:w="1366" w:type="pct"/>
            <w:shd w:val="clear" w:color="auto" w:fill="auto"/>
          </w:tcPr>
          <w:p w:rsidR="00080FF7" w:rsidRPr="00080FF7" w:rsidRDefault="00080FF7" w:rsidP="00475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80FF7" w:rsidRPr="00080FF7" w:rsidRDefault="00080FF7" w:rsidP="00475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FF7">
              <w:rPr>
                <w:rFonts w:ascii="Arial" w:hAnsi="Arial" w:cs="Arial"/>
              </w:rPr>
              <w:t>Kiran &amp; A’kilah</w:t>
            </w:r>
          </w:p>
        </w:tc>
        <w:tc>
          <w:tcPr>
            <w:tcW w:w="410" w:type="pct"/>
            <w:shd w:val="clear" w:color="auto" w:fill="auto"/>
          </w:tcPr>
          <w:p w:rsidR="00080FF7" w:rsidRPr="00080FF7" w:rsidRDefault="00080FF7" w:rsidP="00475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080FF7" w:rsidRDefault="00E45D99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was called to order at 12:38pm. Discussion of the Summer schedule was added to the agenda.</w:t>
            </w:r>
          </w:p>
          <w:p w:rsidR="00B33A5A" w:rsidRPr="00080FF7" w:rsidRDefault="00B33A5A" w:rsidP="00E45D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4CC0" w:rsidRPr="004752BD" w:rsidTr="004752BD">
        <w:tc>
          <w:tcPr>
            <w:tcW w:w="1100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“Doodle.it” results re meeting time</w:t>
            </w:r>
          </w:p>
        </w:tc>
        <w:tc>
          <w:tcPr>
            <w:tcW w:w="1366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on Dept. Chair meeting times for future semesters</w:t>
            </w:r>
          </w:p>
        </w:tc>
        <w:tc>
          <w:tcPr>
            <w:tcW w:w="683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374CC0" w:rsidRDefault="00E45D99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of the survey were reviewed. By consensus, the day time for Department Chair meeting will remain the 1</w:t>
            </w:r>
            <w:r w:rsidRPr="00E45D9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Tuesday </w:t>
            </w:r>
            <w:r w:rsidR="007839F2">
              <w:rPr>
                <w:rFonts w:ascii="Arial" w:hAnsi="Arial" w:cs="Arial"/>
              </w:rPr>
              <w:t xml:space="preserve">of each month </w:t>
            </w:r>
            <w:r>
              <w:rPr>
                <w:rFonts w:ascii="Arial" w:hAnsi="Arial" w:cs="Arial"/>
              </w:rPr>
              <w:t>from 12:30 to 1:50pm.</w:t>
            </w:r>
          </w:p>
          <w:p w:rsidR="00B33A5A" w:rsidRPr="004752BD" w:rsidRDefault="00B33A5A" w:rsidP="00E45D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0F2EAD" w:rsidRPr="004752BD" w:rsidRDefault="00D30702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Instruction Re-org effective July 1, 2013</w:t>
            </w:r>
          </w:p>
        </w:tc>
        <w:tc>
          <w:tcPr>
            <w:tcW w:w="1366" w:type="pct"/>
            <w:shd w:val="clear" w:color="auto" w:fill="auto"/>
          </w:tcPr>
          <w:p w:rsidR="00065525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F2EA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Kevin</w:t>
            </w:r>
          </w:p>
        </w:tc>
        <w:tc>
          <w:tcPr>
            <w:tcW w:w="410" w:type="pct"/>
            <w:shd w:val="clear" w:color="auto" w:fill="auto"/>
          </w:tcPr>
          <w:p w:rsidR="000F2EAD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1" w:type="pct"/>
            <w:shd w:val="clear" w:color="auto" w:fill="auto"/>
          </w:tcPr>
          <w:p w:rsidR="000F2EAD" w:rsidRDefault="00E45D99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solicited further comment on the issue of assigning </w:t>
            </w:r>
            <w:r w:rsidR="007839F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three deans a mixture of CTE, GE and DE programs. </w:t>
            </w:r>
            <w:r w:rsidR="007839F2">
              <w:rPr>
                <w:rFonts w:ascii="Arial" w:hAnsi="Arial" w:cs="Arial"/>
              </w:rPr>
              <w:t>He st</w:t>
            </w:r>
            <w:r>
              <w:rPr>
                <w:rFonts w:ascii="Arial" w:hAnsi="Arial" w:cs="Arial"/>
              </w:rPr>
              <w:t xml:space="preserve">ated that the issue of moving the Brentwood Center assignment away from the 3 deans was clearly heard. </w:t>
            </w:r>
          </w:p>
          <w:p w:rsidR="00E45D99" w:rsidRDefault="00E45D99" w:rsidP="00E45D99">
            <w:pPr>
              <w:spacing w:after="0" w:line="240" w:lineRule="auto"/>
              <w:rPr>
                <w:rFonts w:ascii="Arial" w:hAnsi="Arial" w:cs="Arial"/>
              </w:rPr>
            </w:pPr>
          </w:p>
          <w:p w:rsidR="00E45D99" w:rsidRDefault="00E45D99" w:rsidP="007107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Lengthy discussion on the challenges and opportunities of the “interdisciplinary” </w:t>
            </w:r>
            <w:r w:rsidR="007107E5">
              <w:rPr>
                <w:rFonts w:ascii="Arial" w:hAnsi="Arial" w:cs="Arial"/>
              </w:rPr>
              <w:t xml:space="preserve">model. </w:t>
            </w:r>
            <w:r>
              <w:rPr>
                <w:rFonts w:ascii="Arial" w:hAnsi="Arial" w:cs="Arial"/>
              </w:rPr>
              <w:t>(Swiss Army knife vs. Specialist)</w:t>
            </w:r>
            <w:r w:rsidR="007107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7107E5" w:rsidRDefault="007107E5" w:rsidP="007107E5">
            <w:pPr>
              <w:spacing w:after="0" w:line="240" w:lineRule="auto"/>
              <w:rPr>
                <w:rFonts w:ascii="Arial" w:hAnsi="Arial" w:cs="Arial"/>
              </w:rPr>
            </w:pPr>
          </w:p>
          <w:p w:rsidR="007107E5" w:rsidRDefault="007839F2" w:rsidP="00B33A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Hearing no strong opposition, </w:t>
            </w:r>
            <w:r w:rsidR="007107E5">
              <w:rPr>
                <w:rFonts w:ascii="Arial" w:hAnsi="Arial" w:cs="Arial"/>
              </w:rPr>
              <w:t>Kevin will prepare a version of the distribution of programs across the three deans based on the feedback thus far and welcomes further input primarily via email.</w:t>
            </w:r>
          </w:p>
          <w:p w:rsidR="00B33A5A" w:rsidRPr="004752BD" w:rsidRDefault="00B33A5A" w:rsidP="00B33A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49F" w:rsidRPr="004752BD" w:rsidTr="00E45D99">
        <w:tc>
          <w:tcPr>
            <w:tcW w:w="1100" w:type="pct"/>
            <w:shd w:val="clear" w:color="auto" w:fill="auto"/>
          </w:tcPr>
          <w:p w:rsidR="0079149F" w:rsidRPr="004752BD" w:rsidRDefault="0079149F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A&amp;R update</w:t>
            </w:r>
          </w:p>
        </w:tc>
        <w:tc>
          <w:tcPr>
            <w:tcW w:w="1366" w:type="pct"/>
            <w:shd w:val="clear" w:color="auto" w:fill="auto"/>
          </w:tcPr>
          <w:p w:rsidR="0079149F" w:rsidRDefault="0079149F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processes</w:t>
            </w:r>
          </w:p>
          <w:p w:rsidR="0079149F" w:rsidRPr="004752BD" w:rsidRDefault="0079149F" w:rsidP="00E45D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79149F" w:rsidRPr="004752BD" w:rsidRDefault="0079149F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Armour</w:t>
            </w:r>
          </w:p>
        </w:tc>
        <w:tc>
          <w:tcPr>
            <w:tcW w:w="410" w:type="pct"/>
            <w:shd w:val="clear" w:color="auto" w:fill="auto"/>
          </w:tcPr>
          <w:p w:rsidR="0079149F" w:rsidRPr="004752BD" w:rsidRDefault="0079149F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1" w:type="pct"/>
            <w:shd w:val="clear" w:color="auto" w:fill="auto"/>
          </w:tcPr>
          <w:p w:rsidR="0079149F" w:rsidRDefault="00705206" w:rsidP="00E45D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presented </w:t>
            </w:r>
            <w:r w:rsidR="0027504B">
              <w:rPr>
                <w:rFonts w:ascii="Arial" w:hAnsi="Arial" w:cs="Arial"/>
              </w:rPr>
              <w:t>updated i</w:t>
            </w:r>
            <w:r>
              <w:rPr>
                <w:rFonts w:ascii="Arial" w:hAnsi="Arial" w:cs="Arial"/>
              </w:rPr>
              <w:t>nformatio</w:t>
            </w:r>
            <w:r w:rsidR="0027504B">
              <w:rPr>
                <w:rFonts w:ascii="Arial" w:hAnsi="Arial" w:cs="Arial"/>
              </w:rPr>
              <w:t>n on the A&amp;R Process including info on:</w:t>
            </w:r>
          </w:p>
          <w:p w:rsidR="00705206" w:rsidRDefault="00705206" w:rsidP="007052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Census Rosters</w:t>
            </w:r>
          </w:p>
          <w:p w:rsidR="00705206" w:rsidRDefault="00705206" w:rsidP="007052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WebAdvisor Rosters</w:t>
            </w:r>
          </w:p>
          <w:p w:rsidR="00705206" w:rsidRDefault="00705206" w:rsidP="007052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Add Petitions</w:t>
            </w:r>
          </w:p>
          <w:p w:rsidR="00705206" w:rsidRDefault="00705206" w:rsidP="007052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Admissions Faculty webpage. </w:t>
            </w:r>
          </w:p>
          <w:p w:rsidR="00705206" w:rsidRDefault="00705206" w:rsidP="00705206">
            <w:pPr>
              <w:spacing w:after="0" w:line="240" w:lineRule="auto"/>
              <w:rPr>
                <w:rFonts w:ascii="Arial" w:hAnsi="Arial" w:cs="Arial"/>
              </w:rPr>
            </w:pPr>
          </w:p>
          <w:p w:rsidR="0027504B" w:rsidRDefault="00705206" w:rsidP="00705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Powerpoint slides </w:t>
            </w:r>
            <w:r w:rsidR="0027504B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attached. To view the new </w:t>
            </w:r>
            <w:r w:rsidR="007839F2">
              <w:rPr>
                <w:rFonts w:ascii="Arial" w:hAnsi="Arial" w:cs="Arial"/>
              </w:rPr>
              <w:t xml:space="preserve">A&amp;R faculty </w:t>
            </w:r>
            <w:r>
              <w:rPr>
                <w:rFonts w:ascii="Arial" w:hAnsi="Arial" w:cs="Arial"/>
              </w:rPr>
              <w:t xml:space="preserve">website go to </w:t>
            </w:r>
            <w:hyperlink r:id="rId9" w:history="1">
              <w:r w:rsidR="0027504B" w:rsidRPr="002F1833">
                <w:rPr>
                  <w:rStyle w:val="Hyperlink"/>
                  <w:rFonts w:ascii="Arial" w:hAnsi="Arial" w:cs="Arial"/>
                </w:rPr>
                <w:t>http://www.losmedanos.edu/admissions/4faculty/</w:t>
              </w:r>
            </w:hyperlink>
          </w:p>
          <w:p w:rsidR="0027504B" w:rsidRPr="00705206" w:rsidRDefault="0027504B" w:rsidP="007052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A14C4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Accreditation Annual Report</w:t>
            </w:r>
            <w:r w:rsidR="00382AB9">
              <w:rPr>
                <w:rFonts w:ascii="Arial" w:hAnsi="Arial" w:cs="Arial"/>
              </w:rPr>
              <w:t xml:space="preserve"> (due March 2013)</w:t>
            </w:r>
          </w:p>
        </w:tc>
        <w:tc>
          <w:tcPr>
            <w:tcW w:w="1366" w:type="pct"/>
            <w:shd w:val="clear" w:color="auto" w:fill="auto"/>
          </w:tcPr>
          <w:p w:rsidR="004A14C4" w:rsidRPr="00D30702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a</w:t>
            </w:r>
            <w:r w:rsidR="00D30702">
              <w:rPr>
                <w:rFonts w:ascii="Arial" w:hAnsi="Arial" w:cs="Arial"/>
              </w:rPr>
              <w:t xml:space="preserve">wareness and understanding </w:t>
            </w:r>
            <w:r>
              <w:rPr>
                <w:rFonts w:ascii="Arial" w:hAnsi="Arial" w:cs="Arial"/>
              </w:rPr>
              <w:t>of</w:t>
            </w:r>
            <w:r w:rsidR="00D30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="00D30702">
              <w:rPr>
                <w:rFonts w:ascii="Arial" w:hAnsi="Arial" w:cs="Arial"/>
              </w:rPr>
              <w:t>Accreditation Standards</w:t>
            </w:r>
            <w:r>
              <w:rPr>
                <w:rFonts w:ascii="Arial" w:hAnsi="Arial" w:cs="Arial"/>
              </w:rPr>
              <w:t>”</w:t>
            </w:r>
            <w:r w:rsidR="00D30702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“</w:t>
            </w:r>
            <w:r w:rsidR="00D30702">
              <w:rPr>
                <w:rFonts w:ascii="Arial" w:hAnsi="Arial" w:cs="Arial"/>
              </w:rPr>
              <w:t>Eligibility Requirements</w:t>
            </w:r>
            <w:r>
              <w:rPr>
                <w:rFonts w:ascii="Arial" w:hAnsi="Arial" w:cs="Arial"/>
              </w:rPr>
              <w:t>”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4A14C4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8F0D3B" w:rsidRDefault="0027504B" w:rsidP="008F0D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Kiran led a discussion on </w:t>
            </w:r>
            <w:r w:rsidR="0033077D">
              <w:rPr>
                <w:rFonts w:ascii="Arial" w:hAnsi="Arial" w:cs="Arial"/>
              </w:rPr>
              <w:t xml:space="preserve">the establishment of a process to collaboratively set standards for </w:t>
            </w:r>
            <w:r w:rsidR="008F0D3B">
              <w:rPr>
                <w:rFonts w:ascii="Arial" w:hAnsi="Arial" w:cs="Arial"/>
              </w:rPr>
              <w:t xml:space="preserve">multiple aspects of student achievement – course completion, </w:t>
            </w:r>
            <w:r w:rsidR="0033077D">
              <w:rPr>
                <w:rFonts w:ascii="Arial" w:hAnsi="Arial" w:cs="Arial"/>
              </w:rPr>
              <w:t xml:space="preserve">student </w:t>
            </w:r>
            <w:r w:rsidR="008F0D3B">
              <w:rPr>
                <w:rFonts w:ascii="Arial" w:hAnsi="Arial" w:cs="Arial"/>
              </w:rPr>
              <w:t xml:space="preserve">retention, </w:t>
            </w:r>
            <w:r w:rsidR="00724D47">
              <w:rPr>
                <w:rFonts w:ascii="Arial" w:hAnsi="Arial" w:cs="Arial"/>
              </w:rPr>
              <w:t xml:space="preserve">certificate and </w:t>
            </w:r>
            <w:r w:rsidR="008F0D3B">
              <w:rPr>
                <w:rFonts w:ascii="Arial" w:hAnsi="Arial" w:cs="Arial"/>
              </w:rPr>
              <w:t>degree</w:t>
            </w:r>
            <w:r w:rsidR="0033077D">
              <w:rPr>
                <w:rFonts w:ascii="Arial" w:hAnsi="Arial" w:cs="Arial"/>
              </w:rPr>
              <w:t xml:space="preserve"> completion</w:t>
            </w:r>
            <w:r w:rsidR="008F0D3B">
              <w:rPr>
                <w:rFonts w:ascii="Arial" w:hAnsi="Arial" w:cs="Arial"/>
              </w:rPr>
              <w:t xml:space="preserve"> and transfer. The standards are to represent what the college considers to be “minimally reflective”</w:t>
            </w:r>
            <w:r w:rsidR="0033077D">
              <w:rPr>
                <w:rFonts w:ascii="Arial" w:hAnsi="Arial" w:cs="Arial"/>
              </w:rPr>
              <w:t xml:space="preserve"> of institutional performance and can be adjusted annually. </w:t>
            </w:r>
          </w:p>
          <w:p w:rsidR="008F0D3B" w:rsidRDefault="008F0D3B" w:rsidP="008F0D3B">
            <w:pPr>
              <w:spacing w:after="0" w:line="240" w:lineRule="auto"/>
              <w:rPr>
                <w:rFonts w:ascii="Arial" w:hAnsi="Arial" w:cs="Arial"/>
              </w:rPr>
            </w:pPr>
          </w:p>
          <w:p w:rsidR="004A14C4" w:rsidRDefault="008F0D3B" w:rsidP="008F0D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5 years of</w:t>
            </w:r>
            <w:r w:rsidR="0033077D">
              <w:rPr>
                <w:rFonts w:ascii="Arial" w:hAnsi="Arial" w:cs="Arial"/>
              </w:rPr>
              <w:t xml:space="preserve"> student achievement </w:t>
            </w:r>
            <w:r>
              <w:rPr>
                <w:rFonts w:ascii="Arial" w:hAnsi="Arial" w:cs="Arial"/>
              </w:rPr>
              <w:t xml:space="preserve">data and the choice between </w:t>
            </w:r>
            <w:r w:rsidR="0033077D">
              <w:rPr>
                <w:rFonts w:ascii="Arial" w:hAnsi="Arial" w:cs="Arial"/>
              </w:rPr>
              <w:t xml:space="preserve">setting </w:t>
            </w:r>
            <w:r>
              <w:rPr>
                <w:rFonts w:ascii="Arial" w:hAnsi="Arial" w:cs="Arial"/>
              </w:rPr>
              <w:t xml:space="preserve">the standard at A) the highest value, B) the average value or C) the median value, the </w:t>
            </w:r>
            <w:proofErr w:type="gramStart"/>
            <w:r>
              <w:rPr>
                <w:rFonts w:ascii="Arial" w:hAnsi="Arial" w:cs="Arial"/>
              </w:rPr>
              <w:t xml:space="preserve">group, on a near unanimous </w:t>
            </w:r>
            <w:r w:rsidR="004C64AD">
              <w:rPr>
                <w:rFonts w:ascii="Arial" w:hAnsi="Arial" w:cs="Arial"/>
              </w:rPr>
              <w:t xml:space="preserve">show of hands, </w:t>
            </w:r>
            <w:r>
              <w:rPr>
                <w:rFonts w:ascii="Arial" w:hAnsi="Arial" w:cs="Arial"/>
              </w:rPr>
              <w:t>choose</w:t>
            </w:r>
            <w:proofErr w:type="gramEnd"/>
            <w:r>
              <w:rPr>
                <w:rFonts w:ascii="Arial" w:hAnsi="Arial" w:cs="Arial"/>
              </w:rPr>
              <w:t xml:space="preserve"> Option C – the median value.  </w:t>
            </w:r>
          </w:p>
          <w:p w:rsidR="00747477" w:rsidRDefault="00747477" w:rsidP="008F0D3B">
            <w:pPr>
              <w:spacing w:after="0" w:line="240" w:lineRule="auto"/>
              <w:rPr>
                <w:rFonts w:ascii="Arial" w:hAnsi="Arial" w:cs="Arial"/>
              </w:rPr>
            </w:pPr>
          </w:p>
          <w:p w:rsidR="00747477" w:rsidRDefault="00747477" w:rsidP="008F0D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also advised that the college’s PSLO assessments must be available online for public review</w:t>
            </w:r>
            <w:r w:rsidR="00724D47">
              <w:rPr>
                <w:rFonts w:ascii="Arial" w:hAnsi="Arial" w:cs="Arial"/>
              </w:rPr>
              <w:t xml:space="preserve"> in both qualitative and quantitative formats. </w:t>
            </w:r>
            <w:r>
              <w:rPr>
                <w:rFonts w:ascii="Arial" w:hAnsi="Arial" w:cs="Arial"/>
              </w:rPr>
              <w:t xml:space="preserve">. She </w:t>
            </w:r>
            <w:r w:rsidR="007741B0">
              <w:rPr>
                <w:rFonts w:ascii="Arial" w:hAnsi="Arial" w:cs="Arial"/>
              </w:rPr>
              <w:t>will work with</w:t>
            </w:r>
            <w:r>
              <w:rPr>
                <w:rFonts w:ascii="Arial" w:hAnsi="Arial" w:cs="Arial"/>
              </w:rPr>
              <w:t xml:space="preserve"> Laurie Huffman </w:t>
            </w:r>
            <w:r w:rsidR="007741B0">
              <w:rPr>
                <w:rFonts w:ascii="Arial" w:hAnsi="Arial" w:cs="Arial"/>
              </w:rPr>
              <w:t xml:space="preserve">and TLC on </w:t>
            </w:r>
            <w:r>
              <w:rPr>
                <w:rFonts w:ascii="Arial" w:hAnsi="Arial" w:cs="Arial"/>
              </w:rPr>
              <w:t xml:space="preserve">the college’s strategy to satisfy this </w:t>
            </w:r>
            <w:r w:rsidR="00934B4B">
              <w:rPr>
                <w:rFonts w:ascii="Arial" w:hAnsi="Arial" w:cs="Arial"/>
              </w:rPr>
              <w:t xml:space="preserve">accreditation requirement. </w:t>
            </w:r>
            <w:r>
              <w:rPr>
                <w:rFonts w:ascii="Arial" w:hAnsi="Arial" w:cs="Arial"/>
              </w:rPr>
              <w:t xml:space="preserve"> </w:t>
            </w:r>
          </w:p>
          <w:p w:rsidR="0033077D" w:rsidRDefault="0033077D" w:rsidP="008F0D3B">
            <w:pPr>
              <w:spacing w:after="0" w:line="240" w:lineRule="auto"/>
              <w:rPr>
                <w:rFonts w:ascii="Arial" w:hAnsi="Arial" w:cs="Arial"/>
              </w:rPr>
            </w:pPr>
          </w:p>
          <w:p w:rsidR="0033077D" w:rsidRDefault="0033077D" w:rsidP="00724D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(see </w:t>
            </w:r>
            <w:r w:rsidR="00724D47">
              <w:rPr>
                <w:rFonts w:ascii="Arial" w:hAnsi="Arial" w:cs="Arial"/>
              </w:rPr>
              <w:t xml:space="preserve">Questions 14b 15b, 16b, 17b, 18b, 30a and 30b on the </w:t>
            </w:r>
            <w:r>
              <w:rPr>
                <w:rFonts w:ascii="Arial" w:hAnsi="Arial" w:cs="Arial"/>
              </w:rPr>
              <w:t>attach</w:t>
            </w:r>
            <w:r w:rsidR="00724D47">
              <w:rPr>
                <w:rFonts w:ascii="Arial" w:hAnsi="Arial" w:cs="Arial"/>
              </w:rPr>
              <w:t>ed documents</w:t>
            </w:r>
            <w:r>
              <w:rPr>
                <w:rFonts w:ascii="Arial" w:hAnsi="Arial" w:cs="Arial"/>
              </w:rPr>
              <w:t xml:space="preserve"> for details)</w:t>
            </w:r>
          </w:p>
          <w:p w:rsidR="00E569D0" w:rsidRPr="004752BD" w:rsidRDefault="00E569D0" w:rsidP="00724D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89B" w:rsidRPr="004752BD" w:rsidTr="004752BD">
        <w:tc>
          <w:tcPr>
            <w:tcW w:w="1100" w:type="pct"/>
            <w:shd w:val="clear" w:color="auto" w:fill="auto"/>
          </w:tcPr>
          <w:p w:rsidR="009C389B" w:rsidRDefault="009C389B" w:rsidP="006906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Credit by Exam</w:t>
            </w:r>
            <w:r w:rsidR="0079149F">
              <w:rPr>
                <w:rFonts w:ascii="Arial" w:hAnsi="Arial" w:cs="Arial"/>
              </w:rPr>
              <w:t xml:space="preserve"> and Challenge</w:t>
            </w:r>
            <w:r w:rsidR="006906FA">
              <w:rPr>
                <w:rFonts w:ascii="Arial" w:hAnsi="Arial" w:cs="Arial"/>
              </w:rPr>
              <w:t xml:space="preserve"> (Curriculum Committee)</w:t>
            </w:r>
          </w:p>
        </w:tc>
        <w:tc>
          <w:tcPr>
            <w:tcW w:w="1366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 about the process</w:t>
            </w:r>
          </w:p>
        </w:tc>
        <w:tc>
          <w:tcPr>
            <w:tcW w:w="683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Huffman</w:t>
            </w:r>
          </w:p>
        </w:tc>
        <w:tc>
          <w:tcPr>
            <w:tcW w:w="41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9014B2" w:rsidRPr="004752BD" w:rsidRDefault="009014B2" w:rsidP="009014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to the lack of time, Credit by Exam will be </w:t>
            </w:r>
            <w:proofErr w:type="spellStart"/>
            <w:r>
              <w:rPr>
                <w:rFonts w:ascii="Arial" w:hAnsi="Arial" w:cs="Arial"/>
              </w:rPr>
              <w:t>agen</w:t>
            </w:r>
            <w:r w:rsidR="007741B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ized</w:t>
            </w:r>
            <w:proofErr w:type="spellEnd"/>
            <w:r>
              <w:rPr>
                <w:rFonts w:ascii="Arial" w:hAnsi="Arial" w:cs="Arial"/>
              </w:rPr>
              <w:t xml:space="preserve"> for the April meeting. </w:t>
            </w:r>
          </w:p>
        </w:tc>
      </w:tr>
      <w:tr w:rsidR="009C389B" w:rsidRPr="004752BD" w:rsidTr="004752BD">
        <w:tc>
          <w:tcPr>
            <w:tcW w:w="110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  <w:r w:rsidR="006906FA">
              <w:rPr>
                <w:rFonts w:ascii="Arial" w:hAnsi="Arial" w:cs="Arial"/>
              </w:rPr>
              <w:t xml:space="preserve"> (TLC)</w:t>
            </w:r>
          </w:p>
        </w:tc>
        <w:tc>
          <w:tcPr>
            <w:tcW w:w="1366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update</w:t>
            </w:r>
          </w:p>
          <w:p w:rsidR="0079149F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Huffman</w:t>
            </w:r>
          </w:p>
        </w:tc>
        <w:tc>
          <w:tcPr>
            <w:tcW w:w="41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9014B2" w:rsidRDefault="009014B2" w:rsidP="009014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Laurie reported that the goal of having 100% of courses assessed by June 30 is </w:t>
            </w:r>
            <w:r w:rsidR="007741B0">
              <w:rPr>
                <w:rFonts w:ascii="Arial" w:hAnsi="Arial" w:cs="Arial"/>
              </w:rPr>
              <w:t>the goal that we must achieve as a college</w:t>
            </w:r>
            <w:r>
              <w:rPr>
                <w:rFonts w:ascii="Arial" w:hAnsi="Arial" w:cs="Arial"/>
              </w:rPr>
              <w:t>. 2013SP represents the “</w:t>
            </w:r>
            <w:r w:rsidR="007741B0">
              <w:rPr>
                <w:rFonts w:ascii="Arial" w:hAnsi="Arial" w:cs="Arial"/>
              </w:rPr>
              <w:t>overlap</w:t>
            </w:r>
            <w:r>
              <w:rPr>
                <w:rFonts w:ascii="Arial" w:hAnsi="Arial" w:cs="Arial"/>
              </w:rPr>
              <w:t xml:space="preserve"> year” </w:t>
            </w:r>
            <w:r w:rsidR="007741B0">
              <w:rPr>
                <w:rFonts w:ascii="Arial" w:hAnsi="Arial" w:cs="Arial"/>
              </w:rPr>
              <w:t xml:space="preserve">i.e. the last year of the previous 3-year assessment cycle and the first year of the new 5-year cycle. </w:t>
            </w:r>
            <w:r>
              <w:rPr>
                <w:rFonts w:ascii="Arial" w:hAnsi="Arial" w:cs="Arial"/>
              </w:rPr>
              <w:t xml:space="preserve"> </w:t>
            </w:r>
          </w:p>
          <w:p w:rsidR="009C389B" w:rsidRPr="004752BD" w:rsidRDefault="009C389B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Adjunct Faculty Staffing Preferences  </w:t>
            </w:r>
          </w:p>
        </w:tc>
        <w:tc>
          <w:tcPr>
            <w:tcW w:w="1366" w:type="pct"/>
            <w:shd w:val="clear" w:color="auto" w:fill="auto"/>
          </w:tcPr>
          <w:p w:rsidR="004752BD" w:rsidRPr="004752BD" w:rsidRDefault="004752BD" w:rsidP="009C5C8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Review the process</w:t>
            </w:r>
          </w:p>
        </w:tc>
        <w:tc>
          <w:tcPr>
            <w:tcW w:w="683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A’kilah</w:t>
            </w:r>
          </w:p>
        </w:tc>
        <w:tc>
          <w:tcPr>
            <w:tcW w:w="410" w:type="pct"/>
            <w:shd w:val="clear" w:color="auto" w:fill="auto"/>
          </w:tcPr>
          <w:p w:rsidR="004752BD" w:rsidRPr="004752BD" w:rsidRDefault="008833E1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752BD" w:rsidRDefault="008E34A1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to the lack of time this information will be distributed via email. </w:t>
            </w:r>
          </w:p>
          <w:p w:rsidR="00E569D0" w:rsidRPr="004752BD" w:rsidRDefault="00E569D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E47631" w:rsidRPr="004752BD" w:rsidRDefault="002F530B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Announcements</w:t>
            </w:r>
          </w:p>
        </w:tc>
        <w:tc>
          <w:tcPr>
            <w:tcW w:w="1366" w:type="pct"/>
            <w:shd w:val="clear" w:color="auto" w:fill="auto"/>
          </w:tcPr>
          <w:p w:rsidR="006906FA" w:rsidRDefault="00D30702" w:rsidP="00D30702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Information sharing</w:t>
            </w:r>
            <w:r w:rsidR="006906FA">
              <w:rPr>
                <w:rFonts w:ascii="Arial" w:hAnsi="Arial" w:cs="Arial"/>
              </w:rPr>
              <w:t>:</w:t>
            </w:r>
          </w:p>
          <w:p w:rsidR="006906FA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Scantrons</w:t>
            </w:r>
          </w:p>
          <w:p w:rsidR="006906FA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mini semester</w:t>
            </w:r>
          </w:p>
          <w:p w:rsidR="004F04A5" w:rsidRPr="00D30702" w:rsidRDefault="004F04A5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Schedule 2</w:t>
            </w:r>
            <w:r w:rsidRPr="004F04A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draft</w:t>
            </w:r>
          </w:p>
        </w:tc>
        <w:tc>
          <w:tcPr>
            <w:tcW w:w="683" w:type="pct"/>
            <w:shd w:val="clear" w:color="auto" w:fill="auto"/>
          </w:tcPr>
          <w:p w:rsidR="00AA633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Kiran &amp; </w:t>
            </w:r>
            <w:r w:rsidR="00846C97">
              <w:rPr>
                <w:rFonts w:ascii="Arial" w:hAnsi="Arial" w:cs="Arial"/>
              </w:rPr>
              <w:t>A’k</w:t>
            </w:r>
            <w:r w:rsidR="00065140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AA633D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AA633D" w:rsidRPr="004752BD" w:rsidRDefault="008E34A1" w:rsidP="007741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</w:t>
            </w:r>
            <w:r w:rsidRPr="008E34A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draft is out. 2013FA represents the beginning o</w:t>
            </w:r>
            <w:r w:rsidR="007741B0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our “rebuilding” year. </w:t>
            </w:r>
            <w:r w:rsidR="007741B0">
              <w:rPr>
                <w:rFonts w:ascii="Arial" w:hAnsi="Arial" w:cs="Arial"/>
              </w:rPr>
              <w:t>Work with</w:t>
            </w:r>
            <w:bookmarkStart w:id="0" w:name="_GoBack"/>
            <w:bookmarkEnd w:id="0"/>
            <w:r w:rsidR="00F875AE">
              <w:rPr>
                <w:rFonts w:ascii="Arial" w:hAnsi="Arial" w:cs="Arial"/>
              </w:rPr>
              <w:t xml:space="preserve"> you</w:t>
            </w:r>
            <w:r w:rsidR="007839F2">
              <w:rPr>
                <w:rFonts w:ascii="Arial" w:hAnsi="Arial" w:cs="Arial"/>
              </w:rPr>
              <w:t>r</w:t>
            </w:r>
            <w:r w:rsidR="00F875AE">
              <w:rPr>
                <w:rFonts w:ascii="Arial" w:hAnsi="Arial" w:cs="Arial"/>
              </w:rPr>
              <w:t xml:space="preserve"> Dean for additions to the Summer </w:t>
            </w:r>
            <w:r w:rsidR="007741B0">
              <w:rPr>
                <w:rFonts w:ascii="Arial" w:hAnsi="Arial" w:cs="Arial"/>
              </w:rPr>
              <w:t xml:space="preserve">and Fall </w:t>
            </w:r>
            <w:r w:rsidR="00F875AE">
              <w:rPr>
                <w:rFonts w:ascii="Arial" w:hAnsi="Arial" w:cs="Arial"/>
              </w:rPr>
              <w:t>schedule</w:t>
            </w:r>
            <w:r w:rsidR="007741B0">
              <w:rPr>
                <w:rFonts w:ascii="Arial" w:hAnsi="Arial" w:cs="Arial"/>
              </w:rPr>
              <w:t>s</w:t>
            </w:r>
            <w:r w:rsidR="00F875A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Other</w:t>
            </w:r>
          </w:p>
        </w:tc>
        <w:tc>
          <w:tcPr>
            <w:tcW w:w="1366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65140" w:rsidRPr="004752BD" w:rsidRDefault="00730C9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All</w:t>
            </w:r>
          </w:p>
        </w:tc>
        <w:tc>
          <w:tcPr>
            <w:tcW w:w="410" w:type="pct"/>
            <w:shd w:val="clear" w:color="auto" w:fill="auto"/>
          </w:tcPr>
          <w:p w:rsidR="0006514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8"/>
        </w:trPr>
        <w:tc>
          <w:tcPr>
            <w:tcW w:w="1100" w:type="pct"/>
            <w:shd w:val="clear" w:color="auto" w:fill="auto"/>
          </w:tcPr>
          <w:p w:rsidR="007E456C" w:rsidRPr="004752BD" w:rsidRDefault="002F530B" w:rsidP="00D30702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Next</w:t>
            </w:r>
            <w:r w:rsidR="00474676" w:rsidRPr="004752BD">
              <w:rPr>
                <w:rFonts w:ascii="Arial" w:hAnsi="Arial" w:cs="Arial"/>
              </w:rPr>
              <w:t xml:space="preserve"> Dept</w:t>
            </w:r>
            <w:r w:rsidR="00730C94" w:rsidRPr="004752BD">
              <w:rPr>
                <w:rFonts w:ascii="Arial" w:hAnsi="Arial" w:cs="Arial"/>
              </w:rPr>
              <w:t>.</w:t>
            </w:r>
            <w:r w:rsidR="00474676" w:rsidRPr="004752BD">
              <w:rPr>
                <w:rFonts w:ascii="Arial" w:hAnsi="Arial" w:cs="Arial"/>
              </w:rPr>
              <w:t xml:space="preserve"> Chair meeting </w:t>
            </w:r>
            <w:r w:rsidR="00D30702">
              <w:rPr>
                <w:rFonts w:ascii="Arial" w:hAnsi="Arial" w:cs="Arial"/>
              </w:rPr>
              <w:t>April 2 in MU710</w:t>
            </w:r>
            <w:r w:rsidR="00574162" w:rsidRPr="004752BD">
              <w:rPr>
                <w:rFonts w:ascii="Arial" w:hAnsi="Arial" w:cs="Arial"/>
              </w:rPr>
              <w:t xml:space="preserve"> </w:t>
            </w:r>
            <w:r w:rsidR="00C84B60"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Pr="004752BD" w:rsidRDefault="007839F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was adjourned at 2pm</w:t>
            </w: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99" w:rsidRDefault="00E45D99" w:rsidP="007E456C">
      <w:pPr>
        <w:spacing w:after="0" w:line="240" w:lineRule="auto"/>
      </w:pPr>
      <w:r>
        <w:separator/>
      </w:r>
    </w:p>
  </w:endnote>
  <w:endnote w:type="continuationSeparator" w:id="0">
    <w:p w:rsidR="00E45D99" w:rsidRDefault="00E45D99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CB" w:rsidRDefault="003D1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CB" w:rsidRDefault="003D1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CB" w:rsidRDefault="003D1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99" w:rsidRDefault="00E45D99" w:rsidP="007E456C">
      <w:pPr>
        <w:spacing w:after="0" w:line="240" w:lineRule="auto"/>
      </w:pPr>
      <w:r>
        <w:separator/>
      </w:r>
    </w:p>
  </w:footnote>
  <w:footnote w:type="continuationSeparator" w:id="0">
    <w:p w:rsidR="00E45D99" w:rsidRDefault="00E45D99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CB" w:rsidRDefault="003D1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99" w:rsidRPr="007E456C" w:rsidRDefault="00E45D99" w:rsidP="007E456C">
    <w:pPr>
      <w:pStyle w:val="Header"/>
      <w:jc w:val="center"/>
      <w:rPr>
        <w:b/>
      </w:rPr>
    </w:pPr>
    <w:r w:rsidRPr="007E456C">
      <w:rPr>
        <w:b/>
      </w:rPr>
      <w:t xml:space="preserve">DEPARTMENT CHAIR MEETING </w:t>
    </w:r>
    <w:r w:rsidR="003D16CB">
      <w:rPr>
        <w:b/>
      </w:rPr>
      <w:t>MINUTES</w:t>
    </w:r>
  </w:p>
  <w:p w:rsidR="00E45D99" w:rsidRPr="007E456C" w:rsidRDefault="003D16CB" w:rsidP="007E456C">
    <w:pPr>
      <w:pStyle w:val="Header"/>
      <w:jc w:val="center"/>
      <w:rPr>
        <w:b/>
      </w:rPr>
    </w:pPr>
    <w:r>
      <w:rPr>
        <w:b/>
      </w:rPr>
      <w:t xml:space="preserve">March </w:t>
    </w:r>
    <w:r w:rsidR="00E45D99">
      <w:rPr>
        <w:b/>
      </w:rPr>
      <w:t>5, 2013</w:t>
    </w:r>
  </w:p>
  <w:p w:rsidR="00E45D99" w:rsidRDefault="00E45D99" w:rsidP="007E456C">
    <w:pPr>
      <w:pStyle w:val="Header"/>
      <w:jc w:val="center"/>
    </w:pPr>
    <w:r>
      <w:rPr>
        <w:b/>
      </w:rPr>
      <w:t xml:space="preserve">12:30-1:50, </w:t>
    </w:r>
    <w:r w:rsidRPr="00D30702">
      <w:rPr>
        <w:b/>
        <w:highlight w:val="yellow"/>
      </w:rPr>
      <w:t>Room L109</w:t>
    </w:r>
  </w:p>
  <w:p w:rsidR="00E45D99" w:rsidRDefault="00E45D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CB" w:rsidRDefault="003D1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DB5"/>
    <w:multiLevelType w:val="hybridMultilevel"/>
    <w:tmpl w:val="E242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E40"/>
    <w:multiLevelType w:val="hybridMultilevel"/>
    <w:tmpl w:val="78D4D2BC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E428CB"/>
    <w:multiLevelType w:val="hybridMultilevel"/>
    <w:tmpl w:val="5C22F6E4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E0CA8"/>
    <w:multiLevelType w:val="hybridMultilevel"/>
    <w:tmpl w:val="A57E4128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C"/>
    <w:rsid w:val="000148FD"/>
    <w:rsid w:val="00021163"/>
    <w:rsid w:val="00022939"/>
    <w:rsid w:val="0004048F"/>
    <w:rsid w:val="00046125"/>
    <w:rsid w:val="00065140"/>
    <w:rsid w:val="00065525"/>
    <w:rsid w:val="000732B8"/>
    <w:rsid w:val="00080FF7"/>
    <w:rsid w:val="00083164"/>
    <w:rsid w:val="00090883"/>
    <w:rsid w:val="000F2EAD"/>
    <w:rsid w:val="00112EC6"/>
    <w:rsid w:val="00163477"/>
    <w:rsid w:val="00172A92"/>
    <w:rsid w:val="001C18DD"/>
    <w:rsid w:val="001D0AA0"/>
    <w:rsid w:val="001D39A1"/>
    <w:rsid w:val="001D538B"/>
    <w:rsid w:val="001F2367"/>
    <w:rsid w:val="0023228B"/>
    <w:rsid w:val="0027504B"/>
    <w:rsid w:val="002F1E93"/>
    <w:rsid w:val="002F4B8C"/>
    <w:rsid w:val="002F530B"/>
    <w:rsid w:val="00304827"/>
    <w:rsid w:val="0033077D"/>
    <w:rsid w:val="00374CC0"/>
    <w:rsid w:val="00382AB9"/>
    <w:rsid w:val="00383591"/>
    <w:rsid w:val="003A176A"/>
    <w:rsid w:val="003A1931"/>
    <w:rsid w:val="003D16CB"/>
    <w:rsid w:val="003D1E48"/>
    <w:rsid w:val="003D692F"/>
    <w:rsid w:val="003F53F2"/>
    <w:rsid w:val="004056E7"/>
    <w:rsid w:val="004111A6"/>
    <w:rsid w:val="00437CBE"/>
    <w:rsid w:val="00442E56"/>
    <w:rsid w:val="00474676"/>
    <w:rsid w:val="004752BD"/>
    <w:rsid w:val="0048605A"/>
    <w:rsid w:val="004A14C4"/>
    <w:rsid w:val="004C64AD"/>
    <w:rsid w:val="004F04A5"/>
    <w:rsid w:val="004F5C31"/>
    <w:rsid w:val="0050178C"/>
    <w:rsid w:val="00526912"/>
    <w:rsid w:val="005344F6"/>
    <w:rsid w:val="00552CA6"/>
    <w:rsid w:val="005566FD"/>
    <w:rsid w:val="00574162"/>
    <w:rsid w:val="005B2860"/>
    <w:rsid w:val="005C390D"/>
    <w:rsid w:val="005D510D"/>
    <w:rsid w:val="005E2F41"/>
    <w:rsid w:val="0060479D"/>
    <w:rsid w:val="00675306"/>
    <w:rsid w:val="006906FA"/>
    <w:rsid w:val="006B3674"/>
    <w:rsid w:val="006C0D19"/>
    <w:rsid w:val="006F7951"/>
    <w:rsid w:val="00705206"/>
    <w:rsid w:val="007107E5"/>
    <w:rsid w:val="007166DF"/>
    <w:rsid w:val="00724D47"/>
    <w:rsid w:val="00730C94"/>
    <w:rsid w:val="00747477"/>
    <w:rsid w:val="007741B0"/>
    <w:rsid w:val="007839F2"/>
    <w:rsid w:val="00785385"/>
    <w:rsid w:val="0078707B"/>
    <w:rsid w:val="0079149F"/>
    <w:rsid w:val="007B3889"/>
    <w:rsid w:val="007E456C"/>
    <w:rsid w:val="00811C59"/>
    <w:rsid w:val="00820442"/>
    <w:rsid w:val="00826455"/>
    <w:rsid w:val="00846C97"/>
    <w:rsid w:val="008831DE"/>
    <w:rsid w:val="008833E1"/>
    <w:rsid w:val="00883661"/>
    <w:rsid w:val="008962F1"/>
    <w:rsid w:val="008B2B32"/>
    <w:rsid w:val="008C16CD"/>
    <w:rsid w:val="008D409B"/>
    <w:rsid w:val="008E34A1"/>
    <w:rsid w:val="008F0D3B"/>
    <w:rsid w:val="009014B2"/>
    <w:rsid w:val="009070FB"/>
    <w:rsid w:val="0091093C"/>
    <w:rsid w:val="00934B4B"/>
    <w:rsid w:val="00980E66"/>
    <w:rsid w:val="0099232A"/>
    <w:rsid w:val="009A3261"/>
    <w:rsid w:val="009C389B"/>
    <w:rsid w:val="009C5C84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AF3309"/>
    <w:rsid w:val="00B1301B"/>
    <w:rsid w:val="00B33A5A"/>
    <w:rsid w:val="00B67D1B"/>
    <w:rsid w:val="00B8251B"/>
    <w:rsid w:val="00B8486B"/>
    <w:rsid w:val="00B949CE"/>
    <w:rsid w:val="00B9538D"/>
    <w:rsid w:val="00B96A19"/>
    <w:rsid w:val="00BB1AD5"/>
    <w:rsid w:val="00BB5675"/>
    <w:rsid w:val="00BC3FBD"/>
    <w:rsid w:val="00BE322C"/>
    <w:rsid w:val="00BE7C62"/>
    <w:rsid w:val="00C1684F"/>
    <w:rsid w:val="00C5038F"/>
    <w:rsid w:val="00C56B4D"/>
    <w:rsid w:val="00C84B60"/>
    <w:rsid w:val="00CE29DB"/>
    <w:rsid w:val="00D30702"/>
    <w:rsid w:val="00D460BE"/>
    <w:rsid w:val="00D736E8"/>
    <w:rsid w:val="00D74252"/>
    <w:rsid w:val="00D74D8D"/>
    <w:rsid w:val="00DD176D"/>
    <w:rsid w:val="00E31D3B"/>
    <w:rsid w:val="00E45D99"/>
    <w:rsid w:val="00E47631"/>
    <w:rsid w:val="00E569D0"/>
    <w:rsid w:val="00E6164A"/>
    <w:rsid w:val="00E80E8E"/>
    <w:rsid w:val="00ED6D20"/>
    <w:rsid w:val="00EE276F"/>
    <w:rsid w:val="00F26D31"/>
    <w:rsid w:val="00F44840"/>
    <w:rsid w:val="00F62D65"/>
    <w:rsid w:val="00F875AE"/>
    <w:rsid w:val="00FA4C30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smedanos.edu/admissions/4facult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1813-4229-4EEC-886D-2D721EB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Kiran </cp:lastModifiedBy>
  <cp:revision>2</cp:revision>
  <cp:lastPrinted>2013-03-05T18:10:00Z</cp:lastPrinted>
  <dcterms:created xsi:type="dcterms:W3CDTF">2013-03-20T00:01:00Z</dcterms:created>
  <dcterms:modified xsi:type="dcterms:W3CDTF">2013-03-20T00:01:00Z</dcterms:modified>
</cp:coreProperties>
</file>