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 xml:space="preserve">Institutional Development for Equity and Access (IDEA) </w:t>
      </w:r>
    </w:p>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AGENDA</w:t>
      </w:r>
    </w:p>
    <w:p w:rsidR="00595EDA" w:rsidRPr="00544F99" w:rsidRDefault="00595EDA" w:rsidP="00595EDA">
      <w:pPr>
        <w:pStyle w:val="Header"/>
        <w:tabs>
          <w:tab w:val="clear" w:pos="4320"/>
          <w:tab w:val="clear" w:pos="8640"/>
          <w:tab w:val="left" w:pos="8540"/>
        </w:tabs>
        <w:jc w:val="center"/>
        <w:rPr>
          <w:b/>
          <w:sz w:val="20"/>
          <w:szCs w:val="20"/>
        </w:rPr>
      </w:pPr>
      <w:r w:rsidRPr="00544F99">
        <w:rPr>
          <w:b/>
          <w:sz w:val="20"/>
          <w:szCs w:val="20"/>
        </w:rPr>
        <w:t xml:space="preserve">DATE: </w:t>
      </w:r>
      <w:r>
        <w:rPr>
          <w:b/>
          <w:sz w:val="20"/>
          <w:szCs w:val="20"/>
        </w:rPr>
        <w:t>September 15</w:t>
      </w:r>
      <w:r w:rsidRPr="00544F99">
        <w:rPr>
          <w:b/>
          <w:sz w:val="20"/>
          <w:szCs w:val="20"/>
        </w:rPr>
        <w:t>, 201</w:t>
      </w:r>
      <w:r>
        <w:rPr>
          <w:b/>
          <w:sz w:val="20"/>
          <w:szCs w:val="20"/>
        </w:rPr>
        <w:t>1</w:t>
      </w:r>
    </w:p>
    <w:p w:rsidR="00595EDA" w:rsidRPr="00544F99" w:rsidRDefault="00595EDA" w:rsidP="00595EDA">
      <w:pPr>
        <w:pStyle w:val="Header"/>
        <w:tabs>
          <w:tab w:val="clear" w:pos="4320"/>
          <w:tab w:val="clear" w:pos="8640"/>
          <w:tab w:val="left" w:pos="8540"/>
        </w:tabs>
        <w:jc w:val="center"/>
        <w:rPr>
          <w:b/>
          <w:sz w:val="20"/>
          <w:szCs w:val="20"/>
        </w:rPr>
      </w:pPr>
      <w:r w:rsidRPr="00544F99">
        <w:rPr>
          <w:b/>
          <w:sz w:val="20"/>
          <w:szCs w:val="20"/>
        </w:rPr>
        <w:t>TIME: 2:00 – 3:30 P.M.</w:t>
      </w:r>
    </w:p>
    <w:p w:rsidR="00D2428A" w:rsidRDefault="00595EDA" w:rsidP="00595EDA">
      <w:pPr>
        <w:pStyle w:val="Header"/>
        <w:tabs>
          <w:tab w:val="clear" w:pos="4320"/>
          <w:tab w:val="clear" w:pos="8640"/>
          <w:tab w:val="left" w:pos="8540"/>
        </w:tabs>
        <w:jc w:val="center"/>
        <w:rPr>
          <w:b/>
          <w:sz w:val="20"/>
          <w:szCs w:val="20"/>
        </w:rPr>
      </w:pPr>
      <w:r w:rsidRPr="00544F99">
        <w:rPr>
          <w:b/>
          <w:sz w:val="20"/>
          <w:szCs w:val="20"/>
        </w:rPr>
        <w:t xml:space="preserve">LOCATION:  </w:t>
      </w:r>
      <w:r>
        <w:rPr>
          <w:b/>
          <w:sz w:val="20"/>
          <w:szCs w:val="20"/>
        </w:rPr>
        <w:t>Conference Room 409</w:t>
      </w:r>
    </w:p>
    <w:p w:rsidR="00D2428A" w:rsidRDefault="00D2428A" w:rsidP="00595EDA">
      <w:pPr>
        <w:pStyle w:val="Header"/>
        <w:tabs>
          <w:tab w:val="clear" w:pos="4320"/>
          <w:tab w:val="clear" w:pos="8640"/>
          <w:tab w:val="left" w:pos="8540"/>
        </w:tabs>
        <w:jc w:val="center"/>
        <w:rPr>
          <w:b/>
          <w:sz w:val="20"/>
          <w:szCs w:val="20"/>
        </w:rPr>
      </w:pPr>
    </w:p>
    <w:p w:rsidR="00D2428A" w:rsidRDefault="00D2428A" w:rsidP="00D2428A">
      <w:pPr>
        <w:pStyle w:val="Header"/>
        <w:tabs>
          <w:tab w:val="clear" w:pos="4320"/>
          <w:tab w:val="clear" w:pos="8640"/>
        </w:tabs>
        <w:ind w:firstLine="720"/>
      </w:pPr>
      <w:r>
        <w:rPr>
          <w:b/>
          <w:u w:val="single"/>
        </w:rPr>
        <w:t>Members Present</w:t>
      </w:r>
      <w:r>
        <w:rPr>
          <w:b/>
        </w:rPr>
        <w:t xml:space="preserve">: </w:t>
      </w:r>
      <w:r>
        <w:rPr>
          <w:b/>
        </w:rPr>
        <w:tab/>
      </w:r>
      <w:r w:rsidRPr="004B5B00">
        <w:t xml:space="preserve">Rosa </w:t>
      </w:r>
      <w:proofErr w:type="spellStart"/>
      <w:r w:rsidRPr="004B5B00">
        <w:t>Armend</w:t>
      </w:r>
      <w:r>
        <w:t>á</w:t>
      </w:r>
      <w:r w:rsidRPr="004B5B00">
        <w:t>riz</w:t>
      </w:r>
      <w:proofErr w:type="spellEnd"/>
      <w:r w:rsidRPr="004B5B00">
        <w:t>, Dave</w:t>
      </w:r>
      <w:r>
        <w:t xml:space="preserve"> Belman, Karl Debro, </w:t>
      </w:r>
      <w:proofErr w:type="spellStart"/>
      <w:r>
        <w:t>Heriberto</w:t>
      </w:r>
      <w:proofErr w:type="spellEnd"/>
      <w:r>
        <w:t xml:space="preserve"> </w:t>
      </w:r>
      <w:proofErr w:type="spellStart"/>
      <w:r>
        <w:t>Díaz</w:t>
      </w:r>
      <w:proofErr w:type="spellEnd"/>
      <w:r>
        <w:t xml:space="preserve">, Erlinda Jones, Demetria Lawrence, Hilary Lee, </w:t>
      </w:r>
    </w:p>
    <w:p w:rsidR="00D2428A" w:rsidRDefault="00D2428A" w:rsidP="00D2428A">
      <w:pPr>
        <w:pStyle w:val="Header"/>
        <w:tabs>
          <w:tab w:val="clear" w:pos="4320"/>
          <w:tab w:val="clear" w:pos="8640"/>
        </w:tabs>
        <w:ind w:left="2160" w:firstLine="720"/>
      </w:pPr>
      <w:r>
        <w:t>Justin Nogar</w:t>
      </w:r>
      <w:r w:rsidR="003550C6">
        <w:t>r</w:t>
      </w:r>
      <w:r>
        <w:t>, Ryan Pederson and Jamila Stewart</w:t>
      </w:r>
    </w:p>
    <w:p w:rsidR="00595EDA" w:rsidRPr="00544F99" w:rsidRDefault="00595EDA" w:rsidP="00595EDA">
      <w:pPr>
        <w:pStyle w:val="Header"/>
        <w:tabs>
          <w:tab w:val="clear" w:pos="4320"/>
          <w:tab w:val="clear" w:pos="8640"/>
          <w:tab w:val="left" w:pos="8540"/>
        </w:tabs>
        <w:jc w:val="center"/>
        <w:rPr>
          <w:b/>
          <w:sz w:val="20"/>
          <w:szCs w:val="20"/>
        </w:rPr>
      </w:pPr>
      <w:r>
        <w:rPr>
          <w:b/>
          <w:sz w:val="20"/>
          <w:szCs w:val="20"/>
        </w:rPr>
        <w:br/>
      </w:r>
    </w:p>
    <w:tbl>
      <w:tblPr>
        <w:tblW w:w="13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6210"/>
        <w:gridCol w:w="6543"/>
      </w:tblGrid>
      <w:tr w:rsidR="00012FAA" w:rsidRPr="00595EDA" w:rsidTr="00D2428A">
        <w:trPr>
          <w:trHeight w:val="413"/>
          <w:jc w:val="center"/>
        </w:trPr>
        <w:tc>
          <w:tcPr>
            <w:tcW w:w="918" w:type="dxa"/>
          </w:tcPr>
          <w:p w:rsidR="00012FAA" w:rsidRPr="00595EDA" w:rsidRDefault="00012FAA" w:rsidP="00D2428A">
            <w:pPr>
              <w:pStyle w:val="Heading1"/>
            </w:pPr>
            <w:r w:rsidRPr="00595EDA">
              <w:t>Item #</w:t>
            </w:r>
          </w:p>
        </w:tc>
        <w:tc>
          <w:tcPr>
            <w:tcW w:w="6210" w:type="dxa"/>
          </w:tcPr>
          <w:p w:rsidR="00012FAA" w:rsidRPr="00595EDA" w:rsidRDefault="00012FAA" w:rsidP="00D2428A">
            <w:pPr>
              <w:jc w:val="center"/>
              <w:rPr>
                <w:rFonts w:ascii="Times New Roman" w:hAnsi="Times New Roman" w:cs="Times New Roman"/>
                <w:b/>
                <w:bCs/>
                <w:i/>
                <w:iCs/>
              </w:rPr>
            </w:pPr>
            <w:r w:rsidRPr="00595EDA">
              <w:rPr>
                <w:rFonts w:ascii="Times New Roman" w:hAnsi="Times New Roman" w:cs="Times New Roman"/>
                <w:b/>
                <w:bCs/>
                <w:i/>
                <w:iCs/>
              </w:rPr>
              <w:t>Topic/Activity</w:t>
            </w:r>
          </w:p>
        </w:tc>
        <w:tc>
          <w:tcPr>
            <w:tcW w:w="6543" w:type="dxa"/>
          </w:tcPr>
          <w:p w:rsidR="00012FAA" w:rsidRPr="00595EDA" w:rsidRDefault="00D2428A" w:rsidP="00D2428A">
            <w:pPr>
              <w:jc w:val="center"/>
              <w:rPr>
                <w:rFonts w:ascii="Times New Roman" w:hAnsi="Times New Roman" w:cs="Times New Roman"/>
                <w:b/>
                <w:bCs/>
                <w:i/>
                <w:iCs/>
              </w:rPr>
            </w:pPr>
            <w:r>
              <w:rPr>
                <w:rFonts w:ascii="Times New Roman" w:hAnsi="Times New Roman" w:cs="Times New Roman"/>
                <w:b/>
                <w:bCs/>
                <w:i/>
                <w:iCs/>
              </w:rPr>
              <w:t>Notes</w:t>
            </w:r>
          </w:p>
        </w:tc>
      </w:tr>
      <w:tr w:rsidR="00012FAA" w:rsidRPr="00595EDA" w:rsidTr="00D2428A">
        <w:trPr>
          <w:trHeight w:val="33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Agenda and Minutes approval</w:t>
            </w:r>
          </w:p>
        </w:tc>
        <w:tc>
          <w:tcPr>
            <w:tcW w:w="6543" w:type="dxa"/>
          </w:tcPr>
          <w:p w:rsidR="00012FAA" w:rsidRPr="00E96DEE" w:rsidRDefault="00D2428A" w:rsidP="00D2428A">
            <w:pPr>
              <w:rPr>
                <w:rFonts w:ascii="Times New Roman" w:hAnsi="Times New Roman" w:cs="Times New Roman"/>
              </w:rPr>
            </w:pPr>
            <w:r>
              <w:rPr>
                <w:rFonts w:ascii="Times New Roman" w:hAnsi="Times New Roman" w:cs="Times New Roman"/>
              </w:rPr>
              <w:t>Approved.</w:t>
            </w:r>
          </w:p>
        </w:tc>
      </w:tr>
      <w:tr w:rsidR="00012FAA" w:rsidRPr="00595EDA" w:rsidTr="00D2428A">
        <w:trPr>
          <w:trHeight w:val="33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Introductions &amp; Announcements</w:t>
            </w:r>
          </w:p>
        </w:tc>
        <w:tc>
          <w:tcPr>
            <w:tcW w:w="6543" w:type="dxa"/>
          </w:tcPr>
          <w:p w:rsidR="00012FAA" w:rsidRDefault="00D2428A" w:rsidP="00D2428A">
            <w:pPr>
              <w:rPr>
                <w:rFonts w:ascii="Times New Roman" w:hAnsi="Times New Roman" w:cs="Times New Roman"/>
              </w:rPr>
            </w:pPr>
            <w:r>
              <w:rPr>
                <w:rFonts w:ascii="Times New Roman" w:hAnsi="Times New Roman" w:cs="Times New Roman"/>
              </w:rPr>
              <w:t xml:space="preserve">Many new participants/members were introduced including Ryan Pederson from Research, and Hilary and </w:t>
            </w:r>
            <w:proofErr w:type="spellStart"/>
            <w:r>
              <w:rPr>
                <w:rFonts w:ascii="Times New Roman" w:hAnsi="Times New Roman" w:cs="Times New Roman"/>
              </w:rPr>
              <w:t>Heriberto</w:t>
            </w:r>
            <w:proofErr w:type="spellEnd"/>
            <w:r>
              <w:rPr>
                <w:rFonts w:ascii="Times New Roman" w:hAnsi="Times New Roman" w:cs="Times New Roman"/>
              </w:rPr>
              <w:t xml:space="preserve"> from LMCAS.</w:t>
            </w:r>
          </w:p>
          <w:p w:rsidR="00D2428A" w:rsidRPr="00E96DEE" w:rsidRDefault="00D2428A" w:rsidP="00D2428A">
            <w:pPr>
              <w:rPr>
                <w:rFonts w:ascii="Times New Roman" w:hAnsi="Times New Roman" w:cs="Times New Roman"/>
              </w:rPr>
            </w:pPr>
            <w:r>
              <w:rPr>
                <w:rFonts w:ascii="Times New Roman" w:hAnsi="Times New Roman" w:cs="Times New Roman"/>
              </w:rPr>
              <w:t>There is an Equity Conference at SFSU coming up.  People attending may want to carpool.</w:t>
            </w:r>
          </w:p>
        </w:tc>
      </w:tr>
      <w:tr w:rsidR="00012FAA" w:rsidRPr="00595EDA" w:rsidTr="00D2428A">
        <w:trPr>
          <w:trHeight w:val="33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Meetings for 2011-12: 3</w:t>
            </w:r>
            <w:r w:rsidRPr="00E96DEE">
              <w:rPr>
                <w:rFonts w:ascii="Times New Roman" w:hAnsi="Times New Roman" w:cs="Times New Roman"/>
                <w:vertAlign w:val="superscript"/>
              </w:rPr>
              <w:t>rd</w:t>
            </w:r>
            <w:r w:rsidRPr="00E96DEE">
              <w:rPr>
                <w:rFonts w:ascii="Times New Roman" w:hAnsi="Times New Roman" w:cs="Times New Roman"/>
              </w:rPr>
              <w:t xml:space="preserve"> Thursdays from </w:t>
            </w:r>
            <w:r>
              <w:rPr>
                <w:rFonts w:ascii="Times New Roman" w:hAnsi="Times New Roman" w:cs="Times New Roman"/>
              </w:rPr>
              <w:t>2:0</w:t>
            </w:r>
            <w:r w:rsidR="00D2428A">
              <w:rPr>
                <w:rFonts w:ascii="Times New Roman" w:hAnsi="Times New Roman" w:cs="Times New Roman"/>
              </w:rPr>
              <w:t>0</w:t>
            </w:r>
            <w:r>
              <w:rPr>
                <w:rFonts w:ascii="Times New Roman" w:hAnsi="Times New Roman" w:cs="Times New Roman"/>
              </w:rPr>
              <w:t xml:space="preserve"> pm-3:3</w:t>
            </w:r>
            <w:r w:rsidRPr="00E96DEE">
              <w:rPr>
                <w:rFonts w:ascii="Times New Roman" w:hAnsi="Times New Roman" w:cs="Times New Roman"/>
              </w:rPr>
              <w:t>0pm</w:t>
            </w:r>
          </w:p>
          <w:p w:rsidR="00012FAA" w:rsidRPr="00E96DEE" w:rsidRDefault="00012FAA" w:rsidP="00595EDA">
            <w:pPr>
              <w:pStyle w:val="ColorfulList-Accent11"/>
              <w:numPr>
                <w:ilvl w:val="0"/>
                <w:numId w:val="2"/>
              </w:numPr>
              <w:rPr>
                <w:sz w:val="22"/>
                <w:szCs w:val="22"/>
              </w:rPr>
            </w:pPr>
            <w:r w:rsidRPr="00E96DEE">
              <w:rPr>
                <w:sz w:val="22"/>
                <w:szCs w:val="22"/>
              </w:rPr>
              <w:t>Fall: Sept. 15, Oct. 20, Nov. 17, Dec. 15</w:t>
            </w:r>
          </w:p>
          <w:p w:rsidR="00012FAA" w:rsidRPr="00E96DEE" w:rsidRDefault="00012FAA" w:rsidP="00595EDA">
            <w:pPr>
              <w:pStyle w:val="ColorfulList-Accent11"/>
              <w:numPr>
                <w:ilvl w:val="0"/>
                <w:numId w:val="2"/>
              </w:numPr>
              <w:rPr>
                <w:sz w:val="22"/>
                <w:szCs w:val="22"/>
              </w:rPr>
            </w:pPr>
            <w:r w:rsidRPr="00E96DEE">
              <w:rPr>
                <w:sz w:val="22"/>
                <w:szCs w:val="22"/>
              </w:rPr>
              <w:t>Spring: Feb. 16, Mar. 15, Apr. 19, May 17</w:t>
            </w:r>
          </w:p>
        </w:tc>
        <w:tc>
          <w:tcPr>
            <w:tcW w:w="6543" w:type="dxa"/>
          </w:tcPr>
          <w:p w:rsidR="00012FAA" w:rsidRPr="00E96DEE" w:rsidRDefault="00D2428A" w:rsidP="00D2428A">
            <w:pPr>
              <w:rPr>
                <w:rFonts w:ascii="Times New Roman" w:hAnsi="Times New Roman" w:cs="Times New Roman"/>
              </w:rPr>
            </w:pPr>
            <w:r>
              <w:rPr>
                <w:rFonts w:ascii="Times New Roman" w:hAnsi="Times New Roman" w:cs="Times New Roman"/>
              </w:rPr>
              <w:t>Meeting dates have been set.  The location of the meetings will be Room 409.</w:t>
            </w:r>
          </w:p>
        </w:tc>
      </w:tr>
      <w:tr w:rsidR="00012FAA" w:rsidRPr="00595EDA" w:rsidTr="00D2428A">
        <w:trPr>
          <w:trHeight w:val="1367"/>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595EDA">
            <w:pPr>
              <w:rPr>
                <w:rFonts w:ascii="Times New Roman" w:hAnsi="Times New Roman" w:cs="Times New Roman"/>
              </w:rPr>
            </w:pPr>
            <w:r w:rsidRPr="00E96DEE">
              <w:rPr>
                <w:rFonts w:ascii="Times New Roman" w:hAnsi="Times New Roman" w:cs="Times New Roman"/>
              </w:rPr>
              <w:t>Special Meeting: Thursday, September 22</w:t>
            </w:r>
            <w:r w:rsidRPr="00E96DEE">
              <w:rPr>
                <w:rFonts w:ascii="Times New Roman" w:hAnsi="Times New Roman" w:cs="Times New Roman"/>
                <w:vertAlign w:val="superscript"/>
              </w:rPr>
              <w:t>nd</w:t>
            </w:r>
            <w:r>
              <w:rPr>
                <w:rFonts w:ascii="Times New Roman" w:hAnsi="Times New Roman" w:cs="Times New Roman"/>
              </w:rPr>
              <w:t xml:space="preserve"> 1:30pm-3:0</w:t>
            </w:r>
            <w:r w:rsidRPr="00E96DEE">
              <w:rPr>
                <w:rFonts w:ascii="Times New Roman" w:hAnsi="Times New Roman" w:cs="Times New Roman"/>
              </w:rPr>
              <w:t>0pm.</w:t>
            </w:r>
          </w:p>
          <w:p w:rsidR="00012FAA" w:rsidRPr="00E96DEE" w:rsidRDefault="00012FAA" w:rsidP="00E96DEE">
            <w:pPr>
              <w:pStyle w:val="ListParagraph"/>
              <w:numPr>
                <w:ilvl w:val="0"/>
                <w:numId w:val="5"/>
              </w:numPr>
              <w:rPr>
                <w:rFonts w:ascii="Times New Roman" w:hAnsi="Times New Roman" w:cs="Times New Roman"/>
              </w:rPr>
            </w:pPr>
            <w:r w:rsidRPr="00E96DEE">
              <w:rPr>
                <w:rFonts w:ascii="Times New Roman" w:hAnsi="Times New Roman" w:cs="Times New Roman"/>
              </w:rPr>
              <w:t>District Presentation on research regarding Equity in the Workplace (hiring trends, lay-offs and impact). Presented by: Gene Huff and Mojdeh Mehdizadeh</w:t>
            </w:r>
          </w:p>
        </w:tc>
        <w:tc>
          <w:tcPr>
            <w:tcW w:w="6543" w:type="dxa"/>
          </w:tcPr>
          <w:p w:rsidR="00012FAA" w:rsidRDefault="00D2428A" w:rsidP="00D2428A">
            <w:pPr>
              <w:rPr>
                <w:rFonts w:ascii="Times New Roman" w:hAnsi="Times New Roman" w:cs="Times New Roman"/>
              </w:rPr>
            </w:pPr>
            <w:r>
              <w:rPr>
                <w:rFonts w:ascii="Times New Roman" w:hAnsi="Times New Roman" w:cs="Times New Roman"/>
              </w:rPr>
              <w:t>There is concern about District not wanting to broadly share the information.  The same conversation is happening at DGC and there will be a report there as well.</w:t>
            </w:r>
          </w:p>
          <w:p w:rsidR="00D2428A" w:rsidRDefault="00D2428A" w:rsidP="00D2428A">
            <w:pPr>
              <w:rPr>
                <w:rFonts w:ascii="Times New Roman" w:hAnsi="Times New Roman" w:cs="Times New Roman"/>
              </w:rPr>
            </w:pPr>
            <w:r>
              <w:rPr>
                <w:rFonts w:ascii="Times New Roman" w:hAnsi="Times New Roman" w:cs="Times New Roman"/>
              </w:rPr>
              <w:t>District would like to start by responding to IDEA as we originated the statement.</w:t>
            </w:r>
          </w:p>
          <w:p w:rsidR="00D2428A" w:rsidRDefault="00D2428A" w:rsidP="00D2428A">
            <w:pPr>
              <w:rPr>
                <w:rFonts w:ascii="Times New Roman" w:hAnsi="Times New Roman" w:cs="Times New Roman"/>
              </w:rPr>
            </w:pPr>
            <w:r>
              <w:rPr>
                <w:rFonts w:ascii="Times New Roman" w:hAnsi="Times New Roman" w:cs="Times New Roman"/>
              </w:rPr>
              <w:t>Individuals who are not formally part of IDEA, but helped to draft the statement should be invited to attend the Special Meeting.</w:t>
            </w:r>
          </w:p>
          <w:p w:rsidR="00D2428A" w:rsidRPr="00E96DEE" w:rsidRDefault="00D2428A" w:rsidP="00D2428A">
            <w:pPr>
              <w:rPr>
                <w:rFonts w:ascii="Times New Roman" w:hAnsi="Times New Roman" w:cs="Times New Roman"/>
              </w:rPr>
            </w:pPr>
            <w:r>
              <w:rPr>
                <w:rFonts w:ascii="Times New Roman" w:hAnsi="Times New Roman" w:cs="Times New Roman"/>
              </w:rPr>
              <w:t>The group of people impacted by the workload reduction includes more than those laid-off/bumped, as some people experienced much uncertainty about their jobs.</w:t>
            </w:r>
          </w:p>
        </w:tc>
      </w:tr>
      <w:tr w:rsidR="00012FAA" w:rsidRPr="00595EDA" w:rsidTr="00D2428A">
        <w:trPr>
          <w:trHeight w:val="33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IDEA Charges for 2011-12</w:t>
            </w:r>
          </w:p>
          <w:p w:rsidR="00012FAA" w:rsidRPr="00E96DEE" w:rsidRDefault="00012FAA" w:rsidP="00595EDA">
            <w:pPr>
              <w:numPr>
                <w:ilvl w:val="0"/>
                <w:numId w:val="3"/>
              </w:numPr>
              <w:spacing w:after="0" w:line="240" w:lineRule="auto"/>
              <w:rPr>
                <w:rFonts w:ascii="Times New Roman" w:hAnsi="Times New Roman" w:cs="Times New Roman"/>
              </w:rPr>
            </w:pPr>
            <w:r w:rsidRPr="00E96DEE">
              <w:rPr>
                <w:rFonts w:ascii="Times New Roman" w:hAnsi="Times New Roman" w:cs="Times New Roman"/>
              </w:rPr>
              <w:t>Student Equity Plan</w:t>
            </w:r>
          </w:p>
          <w:p w:rsidR="00012FAA" w:rsidRPr="00E96DEE" w:rsidRDefault="00012FAA" w:rsidP="00595EDA">
            <w:pPr>
              <w:numPr>
                <w:ilvl w:val="0"/>
                <w:numId w:val="3"/>
              </w:numPr>
              <w:spacing w:after="0" w:line="240" w:lineRule="auto"/>
              <w:rPr>
                <w:rFonts w:ascii="Times New Roman" w:hAnsi="Times New Roman" w:cs="Times New Roman"/>
              </w:rPr>
            </w:pPr>
            <w:r w:rsidRPr="00E96DEE">
              <w:rPr>
                <w:rFonts w:ascii="Times New Roman" w:hAnsi="Times New Roman" w:cs="Times New Roman"/>
              </w:rPr>
              <w:t>Continued work with CUE</w:t>
            </w:r>
          </w:p>
          <w:p w:rsidR="00012FAA" w:rsidRPr="00E96DEE" w:rsidRDefault="00012FAA" w:rsidP="00595EDA">
            <w:pPr>
              <w:numPr>
                <w:ilvl w:val="0"/>
                <w:numId w:val="3"/>
              </w:numPr>
              <w:spacing w:after="0" w:line="240" w:lineRule="auto"/>
              <w:rPr>
                <w:rFonts w:ascii="Times New Roman" w:hAnsi="Times New Roman" w:cs="Times New Roman"/>
              </w:rPr>
            </w:pPr>
            <w:r w:rsidRPr="00E96DEE">
              <w:rPr>
                <w:rFonts w:ascii="Times New Roman" w:hAnsi="Times New Roman" w:cs="Times New Roman"/>
              </w:rPr>
              <w:t>EEO Committee</w:t>
            </w:r>
          </w:p>
        </w:tc>
        <w:tc>
          <w:tcPr>
            <w:tcW w:w="6543" w:type="dxa"/>
          </w:tcPr>
          <w:p w:rsidR="00012FAA" w:rsidRDefault="00D2428A" w:rsidP="00D2428A">
            <w:pPr>
              <w:rPr>
                <w:rFonts w:ascii="Times New Roman" w:hAnsi="Times New Roman" w:cs="Times New Roman"/>
              </w:rPr>
            </w:pPr>
            <w:r>
              <w:rPr>
                <w:rFonts w:ascii="Times New Roman" w:hAnsi="Times New Roman" w:cs="Times New Roman"/>
              </w:rPr>
              <w:t xml:space="preserve">Equity Plan: Background on the plan was given to new participants.  Erlinda, Dave, and Rosa are interested in working to draft the new plan.  It should be shared in stages along the way with the entire IDEA committee.  The report should include a grander vision for institutional change and should include the work from the Inquiry Team.  </w:t>
            </w:r>
            <w:r w:rsidR="00BE50DA">
              <w:rPr>
                <w:rFonts w:ascii="Times New Roman" w:hAnsi="Times New Roman" w:cs="Times New Roman"/>
              </w:rPr>
              <w:t xml:space="preserve">Ryan can </w:t>
            </w:r>
            <w:r w:rsidR="00BE50DA">
              <w:rPr>
                <w:rFonts w:ascii="Times New Roman" w:hAnsi="Times New Roman" w:cs="Times New Roman"/>
              </w:rPr>
              <w:lastRenderedPageBreak/>
              <w:t>assist with updating the data sections.</w:t>
            </w:r>
          </w:p>
          <w:p w:rsidR="00D2428A" w:rsidRDefault="00D2428A" w:rsidP="00D2428A">
            <w:pPr>
              <w:rPr>
                <w:rFonts w:ascii="Times New Roman" w:hAnsi="Times New Roman" w:cs="Times New Roman"/>
              </w:rPr>
            </w:pPr>
            <w:r>
              <w:rPr>
                <w:rFonts w:ascii="Times New Roman" w:hAnsi="Times New Roman" w:cs="Times New Roman"/>
              </w:rPr>
              <w:t>Work with CUE:</w:t>
            </w:r>
            <w:r w:rsidR="00BE50DA">
              <w:rPr>
                <w:rFonts w:ascii="Times New Roman" w:hAnsi="Times New Roman" w:cs="Times New Roman"/>
              </w:rPr>
              <w:t xml:space="preserve">  The first 1.5 year phase with CUE is coming to a close and the final report is being finished.  A new 1.5 year phase focusing on Transfer will start this semester.</w:t>
            </w:r>
          </w:p>
          <w:p w:rsidR="00D2428A" w:rsidRPr="00E96DEE" w:rsidRDefault="00D2428A" w:rsidP="00D2428A">
            <w:pPr>
              <w:rPr>
                <w:rFonts w:ascii="Times New Roman" w:hAnsi="Times New Roman" w:cs="Times New Roman"/>
              </w:rPr>
            </w:pPr>
            <w:r>
              <w:rPr>
                <w:rFonts w:ascii="Times New Roman" w:hAnsi="Times New Roman" w:cs="Times New Roman"/>
              </w:rPr>
              <w:t xml:space="preserve">EEO Committee: </w:t>
            </w:r>
            <w:r w:rsidR="00BE50DA">
              <w:rPr>
                <w:rFonts w:ascii="Times New Roman" w:hAnsi="Times New Roman" w:cs="Times New Roman"/>
              </w:rPr>
              <w:t>This committee hasn’t yet met or been formed.  It has been sidetracked by changes at the State level.  IDEA generally feels that the EEO Committee should be separate from IDEA.  While we might help to start it and create the format for it, many think it should be lead by HR.  Rosa will meet with Sandy Smith.</w:t>
            </w:r>
          </w:p>
        </w:tc>
      </w:tr>
      <w:tr w:rsidR="00012FAA" w:rsidRPr="00595EDA" w:rsidTr="00D2428A">
        <w:trPr>
          <w:trHeight w:val="33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Spring 2012 Flex (Workshop and/or Theme?)</w:t>
            </w:r>
          </w:p>
        </w:tc>
        <w:tc>
          <w:tcPr>
            <w:tcW w:w="6543" w:type="dxa"/>
          </w:tcPr>
          <w:p w:rsidR="00012FAA" w:rsidRPr="00E96DEE" w:rsidRDefault="00F02222" w:rsidP="00D2428A">
            <w:pPr>
              <w:rPr>
                <w:rFonts w:ascii="Times New Roman" w:hAnsi="Times New Roman" w:cs="Times New Roman"/>
              </w:rPr>
            </w:pPr>
            <w:r>
              <w:rPr>
                <w:rFonts w:ascii="Times New Roman" w:hAnsi="Times New Roman" w:cs="Times New Roman"/>
              </w:rPr>
              <w:t>Table.</w:t>
            </w:r>
          </w:p>
        </w:tc>
      </w:tr>
      <w:tr w:rsidR="00012FAA" w:rsidRPr="00595EDA" w:rsidTr="00D2428A">
        <w:trPr>
          <w:trHeight w:val="51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Reports from Committees</w:t>
            </w:r>
          </w:p>
          <w:tbl>
            <w:tblPr>
              <w:tblW w:w="569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0"/>
              <w:gridCol w:w="2726"/>
            </w:tblGrid>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Shared Governance Council</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Curriculum</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Student Senate</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Developmental Education</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Classified Senate</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General Education</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Academic Senate</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PDAC</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Institutional Planning</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TLP</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Distance Education</w:t>
                  </w:r>
                </w:p>
              </w:tc>
              <w:tc>
                <w:tcPr>
                  <w:tcW w:w="2726" w:type="dxa"/>
                </w:tcPr>
                <w:p w:rsidR="00012FAA" w:rsidRPr="00E96DEE" w:rsidRDefault="00012FAA" w:rsidP="00D2428A">
                  <w:pPr>
                    <w:pStyle w:val="ColorfulList-Accent11"/>
                    <w:ind w:left="0"/>
                    <w:rPr>
                      <w:color w:val="000000"/>
                      <w:sz w:val="22"/>
                      <w:szCs w:val="22"/>
                    </w:rPr>
                  </w:pPr>
                  <w:r w:rsidRPr="00E96DEE">
                    <w:rPr>
                      <w:color w:val="000000"/>
                      <w:sz w:val="22"/>
                      <w:szCs w:val="22"/>
                    </w:rPr>
                    <w:t>A-Gap Subcommittee</w:t>
                  </w:r>
                </w:p>
              </w:tc>
            </w:tr>
            <w:tr w:rsidR="00012FAA" w:rsidRPr="00E96DEE" w:rsidTr="00D2428A">
              <w:tc>
                <w:tcPr>
                  <w:tcW w:w="2970" w:type="dxa"/>
                </w:tcPr>
                <w:p w:rsidR="00012FAA" w:rsidRPr="00E96DEE" w:rsidRDefault="00012FAA" w:rsidP="00D2428A">
                  <w:pPr>
                    <w:pStyle w:val="ColorfulList-Accent11"/>
                    <w:ind w:left="0"/>
                    <w:rPr>
                      <w:color w:val="000000"/>
                      <w:sz w:val="22"/>
                      <w:szCs w:val="22"/>
                    </w:rPr>
                  </w:pPr>
                  <w:r w:rsidRPr="00E96DEE">
                    <w:rPr>
                      <w:color w:val="000000"/>
                      <w:sz w:val="22"/>
                      <w:szCs w:val="22"/>
                    </w:rPr>
                    <w:t>Enrollment Management</w:t>
                  </w:r>
                </w:p>
              </w:tc>
              <w:tc>
                <w:tcPr>
                  <w:tcW w:w="2726" w:type="dxa"/>
                </w:tcPr>
                <w:p w:rsidR="00012FAA" w:rsidRPr="00E96DEE" w:rsidRDefault="00012FAA" w:rsidP="00D2428A">
                  <w:pPr>
                    <w:pStyle w:val="ColorfulList-Accent11"/>
                    <w:ind w:left="0"/>
                    <w:rPr>
                      <w:color w:val="000000"/>
                      <w:sz w:val="22"/>
                      <w:szCs w:val="22"/>
                    </w:rPr>
                  </w:pPr>
                </w:p>
              </w:tc>
            </w:tr>
          </w:tbl>
          <w:p w:rsidR="00012FAA" w:rsidRPr="00E96DEE" w:rsidRDefault="00012FAA" w:rsidP="00D2428A">
            <w:pPr>
              <w:rPr>
                <w:rFonts w:ascii="Times New Roman" w:hAnsi="Times New Roman" w:cs="Times New Roman"/>
              </w:rPr>
            </w:pPr>
          </w:p>
        </w:tc>
        <w:tc>
          <w:tcPr>
            <w:tcW w:w="6543" w:type="dxa"/>
          </w:tcPr>
          <w:p w:rsidR="00012FAA" w:rsidRPr="00E96DEE" w:rsidRDefault="00F02222" w:rsidP="00F02222">
            <w:pPr>
              <w:rPr>
                <w:rFonts w:ascii="Times New Roman" w:hAnsi="Times New Roman" w:cs="Times New Roman"/>
              </w:rPr>
            </w:pPr>
            <w:r>
              <w:rPr>
                <w:rFonts w:ascii="Times New Roman" w:hAnsi="Times New Roman" w:cs="Times New Roman"/>
              </w:rPr>
              <w:t xml:space="preserve">LMCAS is preparing for elections. </w:t>
            </w:r>
            <w:proofErr w:type="spellStart"/>
            <w:r>
              <w:rPr>
                <w:rFonts w:ascii="Times New Roman" w:hAnsi="Times New Roman" w:cs="Times New Roman"/>
              </w:rPr>
              <w:t>Heriberto</w:t>
            </w:r>
            <w:proofErr w:type="spellEnd"/>
            <w:r>
              <w:rPr>
                <w:rFonts w:ascii="Times New Roman" w:hAnsi="Times New Roman" w:cs="Times New Roman"/>
              </w:rPr>
              <w:t xml:space="preserve"> will be running for LMCAS President. </w:t>
            </w:r>
          </w:p>
        </w:tc>
      </w:tr>
      <w:tr w:rsidR="00012FAA" w:rsidRPr="00595EDA" w:rsidTr="00D2428A">
        <w:trPr>
          <w:trHeight w:val="512"/>
          <w:jc w:val="center"/>
        </w:trPr>
        <w:tc>
          <w:tcPr>
            <w:tcW w:w="918" w:type="dxa"/>
          </w:tcPr>
          <w:p w:rsidR="00012FAA" w:rsidRPr="00E96DEE" w:rsidRDefault="00012FAA" w:rsidP="00595EDA">
            <w:pPr>
              <w:numPr>
                <w:ilvl w:val="0"/>
                <w:numId w:val="1"/>
              </w:numPr>
              <w:spacing w:after="0" w:line="240" w:lineRule="auto"/>
              <w:rPr>
                <w:rFonts w:ascii="Times New Roman" w:hAnsi="Times New Roman" w:cs="Times New Roman"/>
              </w:rPr>
            </w:pPr>
          </w:p>
        </w:tc>
        <w:tc>
          <w:tcPr>
            <w:tcW w:w="6210" w:type="dxa"/>
          </w:tcPr>
          <w:p w:rsidR="00012FAA" w:rsidRPr="00E96DEE" w:rsidRDefault="00012FAA" w:rsidP="00D2428A">
            <w:pPr>
              <w:rPr>
                <w:rFonts w:ascii="Times New Roman" w:hAnsi="Times New Roman" w:cs="Times New Roman"/>
              </w:rPr>
            </w:pPr>
            <w:r w:rsidRPr="00E96DEE">
              <w:rPr>
                <w:rFonts w:ascii="Times New Roman" w:hAnsi="Times New Roman" w:cs="Times New Roman"/>
              </w:rPr>
              <w:t>Future Agenda Items</w:t>
            </w:r>
          </w:p>
        </w:tc>
        <w:tc>
          <w:tcPr>
            <w:tcW w:w="6543" w:type="dxa"/>
          </w:tcPr>
          <w:p w:rsidR="00012FAA" w:rsidRPr="00E96DEE" w:rsidRDefault="00F02222" w:rsidP="00D2428A">
            <w:pPr>
              <w:rPr>
                <w:rFonts w:ascii="Times New Roman" w:hAnsi="Times New Roman" w:cs="Times New Roman"/>
              </w:rPr>
            </w:pPr>
            <w:r>
              <w:rPr>
                <w:rFonts w:ascii="Times New Roman" w:hAnsi="Times New Roman" w:cs="Times New Roman"/>
              </w:rPr>
              <w:t>No report.</w:t>
            </w:r>
          </w:p>
        </w:tc>
      </w:tr>
    </w:tbl>
    <w:p w:rsidR="00E96DEE" w:rsidRDefault="00E96DEE">
      <w:pPr>
        <w:rPr>
          <w:rFonts w:ascii="Times New Roman" w:hAnsi="Times New Roman" w:cs="Times New Roman"/>
        </w:rPr>
      </w:pPr>
      <w:r>
        <w:rPr>
          <w:rFonts w:ascii="Times New Roman" w:hAnsi="Times New Roman" w:cs="Times New Roman"/>
        </w:rPr>
        <w:tab/>
      </w:r>
    </w:p>
    <w:p w:rsidR="00D2428A" w:rsidRPr="00D2428A" w:rsidRDefault="00D2428A" w:rsidP="00D2428A">
      <w:pPr>
        <w:ind w:left="630"/>
        <w:rPr>
          <w:rFonts w:ascii="Times New Roman" w:hAnsi="Times New Roman" w:cs="Times New Roman"/>
        </w:rPr>
      </w:pPr>
      <w:proofErr w:type="gramStart"/>
      <w:r w:rsidRPr="00D2428A">
        <w:rPr>
          <w:rFonts w:ascii="Times New Roman" w:hAnsi="Times New Roman" w:cs="Times New Roman"/>
        </w:rPr>
        <w:t>Adjourned: 3:40 P.M.</w:t>
      </w:r>
      <w:proofErr w:type="gramEnd"/>
    </w:p>
    <w:p w:rsidR="00D2428A" w:rsidRPr="00D2428A" w:rsidRDefault="00D2428A" w:rsidP="00D2428A">
      <w:pPr>
        <w:ind w:left="630"/>
        <w:rPr>
          <w:rFonts w:ascii="Times New Roman" w:hAnsi="Times New Roman" w:cs="Times New Roman"/>
        </w:rPr>
      </w:pPr>
      <w:r w:rsidRPr="00D2428A">
        <w:rPr>
          <w:rFonts w:ascii="Times New Roman" w:hAnsi="Times New Roman" w:cs="Times New Roman"/>
        </w:rPr>
        <w:t>NEXT MEETING: October 20, 2010 from 2 – 3:30 P.M. in Conference Room 409.</w:t>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r w:rsidRPr="00D2428A">
        <w:rPr>
          <w:rFonts w:ascii="Times New Roman" w:hAnsi="Times New Roman" w:cs="Times New Roman"/>
        </w:rPr>
        <w:tab/>
      </w:r>
    </w:p>
    <w:p w:rsidR="00D2428A" w:rsidRPr="00D2428A" w:rsidRDefault="00D2428A" w:rsidP="00D2428A">
      <w:pPr>
        <w:ind w:left="630"/>
        <w:rPr>
          <w:rFonts w:ascii="Times New Roman" w:hAnsi="Times New Roman" w:cs="Times New Roman"/>
        </w:rPr>
      </w:pPr>
      <w:proofErr w:type="spellStart"/>
      <w:r w:rsidRPr="00D2428A">
        <w:rPr>
          <w:rFonts w:ascii="Times New Roman" w:hAnsi="Times New Roman" w:cs="Times New Roman"/>
        </w:rPr>
        <w:t>Notetaker</w:t>
      </w:r>
      <w:proofErr w:type="spellEnd"/>
      <w:r w:rsidRPr="00D2428A">
        <w:rPr>
          <w:rFonts w:ascii="Times New Roman" w:hAnsi="Times New Roman" w:cs="Times New Roman"/>
        </w:rPr>
        <w:t>: Dave Belman</w:t>
      </w:r>
    </w:p>
    <w:p w:rsidR="00E96DEE" w:rsidRPr="00595EDA" w:rsidRDefault="00E96DEE" w:rsidP="00D2428A">
      <w:pPr>
        <w:ind w:firstLine="720"/>
        <w:rPr>
          <w:rFonts w:ascii="Times New Roman" w:hAnsi="Times New Roman" w:cs="Times New Roman"/>
        </w:rPr>
      </w:pPr>
    </w:p>
    <w:sectPr w:rsidR="00E96DEE" w:rsidRPr="00595EDA" w:rsidSect="00E96DEE">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8A" w:rsidRDefault="00D2428A" w:rsidP="00E96DEE">
      <w:pPr>
        <w:spacing w:after="0" w:line="240" w:lineRule="auto"/>
      </w:pPr>
      <w:r>
        <w:separator/>
      </w:r>
    </w:p>
  </w:endnote>
  <w:endnote w:type="continuationSeparator" w:id="1">
    <w:p w:rsidR="00D2428A" w:rsidRDefault="00D2428A" w:rsidP="00E9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8A" w:rsidRDefault="00D2428A" w:rsidP="00E96DEE">
      <w:pPr>
        <w:spacing w:after="0" w:line="240" w:lineRule="auto"/>
      </w:pPr>
      <w:r>
        <w:separator/>
      </w:r>
    </w:p>
  </w:footnote>
  <w:footnote w:type="continuationSeparator" w:id="1">
    <w:p w:rsidR="00D2428A" w:rsidRDefault="00D2428A" w:rsidP="00E9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C1B"/>
    <w:multiLevelType w:val="hybridMultilevel"/>
    <w:tmpl w:val="95882B8C"/>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B1106074">
      <w:start w:val="1"/>
      <w:numFmt w:val="lowerLetter"/>
      <w:lvlText w:val="%3."/>
      <w:lvlJc w:val="left"/>
      <w:pPr>
        <w:tabs>
          <w:tab w:val="num" w:pos="2340"/>
        </w:tabs>
        <w:ind w:left="2340" w:hanging="360"/>
      </w:pPr>
      <w:rPr>
        <w:rFonts w:hint="default"/>
      </w:rPr>
    </w:lvl>
    <w:lvl w:ilvl="3" w:tplc="14821EB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43BA1"/>
    <w:multiLevelType w:val="hybridMultilevel"/>
    <w:tmpl w:val="85C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74"/>
    <w:multiLevelType w:val="hybridMultilevel"/>
    <w:tmpl w:val="11E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16150"/>
    <w:multiLevelType w:val="hybridMultilevel"/>
    <w:tmpl w:val="167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02173"/>
    <w:multiLevelType w:val="hybridMultilevel"/>
    <w:tmpl w:val="D33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5EDA"/>
    <w:rsid w:val="00012FAA"/>
    <w:rsid w:val="00114717"/>
    <w:rsid w:val="002A0CD4"/>
    <w:rsid w:val="002A4342"/>
    <w:rsid w:val="003550C6"/>
    <w:rsid w:val="00595EDA"/>
    <w:rsid w:val="006C0583"/>
    <w:rsid w:val="006E0232"/>
    <w:rsid w:val="00765E50"/>
    <w:rsid w:val="008343ED"/>
    <w:rsid w:val="00861D7C"/>
    <w:rsid w:val="00BE50DA"/>
    <w:rsid w:val="00C356EE"/>
    <w:rsid w:val="00C609E9"/>
    <w:rsid w:val="00D2428A"/>
    <w:rsid w:val="00E96DEE"/>
    <w:rsid w:val="00F02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32"/>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2011-10-11T16:53:00Z</dcterms:created>
  <dcterms:modified xsi:type="dcterms:W3CDTF">2011-10-11T16:53:00Z</dcterms:modified>
</cp:coreProperties>
</file>