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67D4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Institutional Development for Equity and Access (IDEA) </w:t>
      </w:r>
    </w:p>
    <w:p w:rsidR="00000000" w:rsidRDefault="00EE67D4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MINUTES</w:t>
      </w:r>
    </w:p>
    <w:p w:rsidR="00000000" w:rsidRDefault="00EE67D4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DATE: October 17, 2013</w:t>
      </w:r>
    </w:p>
    <w:p w:rsidR="00000000" w:rsidRDefault="00EE67D4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2:00pm – 3:30pm </w:t>
      </w:r>
    </w:p>
    <w:p w:rsidR="00000000" w:rsidRDefault="00EE67D4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LOCATION:  Library Conference Room 1 (L106)</w:t>
      </w:r>
    </w:p>
    <w:p w:rsidR="00000000" w:rsidRDefault="00EE67D4">
      <w:pPr>
        <w:pStyle w:val="Header"/>
        <w:tabs>
          <w:tab w:val="clear" w:pos="4320"/>
          <w:tab w:val="clear" w:pos="8640"/>
          <w:tab w:val="left" w:pos="8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Attendance: Ryan Pedersen, Erlinda Jones, </w:t>
      </w:r>
      <w:proofErr w:type="spellStart"/>
      <w:r>
        <w:rPr>
          <w:b/>
          <w:sz w:val="20"/>
          <w:szCs w:val="20"/>
        </w:rPr>
        <w:t>Ad</w:t>
      </w:r>
      <w:r>
        <w:rPr>
          <w:b/>
          <w:sz w:val="20"/>
          <w:szCs w:val="20"/>
        </w:rPr>
        <w:t>é</w:t>
      </w:r>
      <w:proofErr w:type="spellEnd"/>
      <w:r>
        <w:rPr>
          <w:b/>
          <w:sz w:val="20"/>
          <w:szCs w:val="20"/>
        </w:rPr>
        <w:t xml:space="preserve"> Origunwa, George Mills, Paula </w:t>
      </w:r>
      <w:proofErr w:type="spellStart"/>
      <w:r>
        <w:rPr>
          <w:b/>
          <w:sz w:val="20"/>
          <w:szCs w:val="20"/>
        </w:rPr>
        <w:t>Gunder</w:t>
      </w:r>
      <w:proofErr w:type="spellEnd"/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Rosa Armendariz, Laura </w:t>
      </w:r>
      <w:proofErr w:type="spellStart"/>
      <w:r>
        <w:rPr>
          <w:b/>
          <w:sz w:val="20"/>
          <w:szCs w:val="20"/>
        </w:rPr>
        <w:t>Subia</w:t>
      </w:r>
      <w:proofErr w:type="spellEnd"/>
      <w:r>
        <w:rPr>
          <w:b/>
          <w:sz w:val="20"/>
          <w:szCs w:val="20"/>
        </w:rPr>
        <w:t>, Jorge Cea, Ana Castro, Eileen Valenzuela</w:t>
      </w:r>
    </w:p>
    <w:p w:rsidR="00000000" w:rsidRDefault="00EE67D4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121"/>
        <w:gridCol w:w="4333"/>
        <w:gridCol w:w="6729"/>
      </w:tblGrid>
      <w:tr w:rsidR="00000000">
        <w:trPr>
          <w:gridAfter w:val="2"/>
          <w:wAfter w:w="11062" w:type="dxa"/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CURRENT ITEMS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Heading1"/>
            </w:pPr>
            <w:r>
              <w:t>Item #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Outcome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Welcome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Eileen Valenzuela is new today. Welcome.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Agenda and Minutes approval</w:t>
            </w:r>
          </w:p>
        </w:tc>
        <w:tc>
          <w:tcPr>
            <w:tcW w:w="6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Agenda approval: Motion by Paula </w:t>
            </w:r>
            <w:proofErr w:type="spellStart"/>
            <w:r>
              <w:rPr>
                <w:rFonts w:cs="Times New Roman"/>
              </w:rPr>
              <w:t>Gunder</w:t>
            </w:r>
            <w:bookmarkStart w:id="0" w:name="_GoBack"/>
            <w:bookmarkEnd w:id="0"/>
            <w:proofErr w:type="spellEnd"/>
            <w:r>
              <w:rPr>
                <w:rFonts w:cs="Times New Roman"/>
              </w:rPr>
              <w:t xml:space="preserve">, Second by Jorge </w:t>
            </w:r>
            <w:r>
              <w:rPr>
                <w:rFonts w:cs="Times New Roman"/>
              </w:rPr>
              <w:t>Cea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Minutes approval: Motion by Jorge Cea, Second by Ana Castro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Religious Holidays and Classroom Accommodations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Adé</w:t>
            </w:r>
            <w:proofErr w:type="spellEnd"/>
            <w:r>
              <w:rPr>
                <w:rFonts w:cs="Times New Roman"/>
              </w:rPr>
              <w:t xml:space="preserve"> brought to our attention that LMC does not have an excused policy around religious holidays. As employees, we have religious leave. Issue </w:t>
            </w:r>
            <w:r>
              <w:rPr>
                <w:rFonts w:cs="Times New Roman"/>
              </w:rPr>
              <w:t xml:space="preserve">is not addressed in the student handbook. CSU &amp; UC have an explicit non-discrimination policy in the </w:t>
            </w:r>
            <w:proofErr w:type="spellStart"/>
            <w:r>
              <w:rPr>
                <w:rFonts w:cs="Times New Roman"/>
              </w:rPr>
              <w:t>ed</w:t>
            </w:r>
            <w:proofErr w:type="spellEnd"/>
            <w:r>
              <w:rPr>
                <w:rFonts w:cs="Times New Roman"/>
              </w:rPr>
              <w:t xml:space="preserve"> code. 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Action: make a recommendation to district to make an internal resolution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When does the instructor have to give a make-up? 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Eileen will look at go</w:t>
            </w:r>
            <w:r>
              <w:rPr>
                <w:rFonts w:cs="Times New Roman"/>
              </w:rPr>
              <w:t>verning board policy.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Paula, Ryan, Ade, and Erlinda will write a letter to Kevin Horan as CIO Rosa will proofread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ColorfulList-Accent11"/>
              <w:ind w:left="0"/>
            </w:pPr>
            <w:r>
              <w:t>EEO Plan and Committee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Rosa gave us some background on the EEO committee 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2 years ago IDEA decided to make a campus-based EEO committee, Bru</w:t>
            </w:r>
            <w:r>
              <w:rPr>
                <w:rFonts w:cs="Times New Roman"/>
              </w:rPr>
              <w:t xml:space="preserve">ce was the chair. Design was for the committee to be an SGC committee, connected but not run by IDEA. 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Action: Invite ourselves to present to SGC. We were unsure when our last </w:t>
            </w:r>
            <w:proofErr w:type="gramStart"/>
            <w:r>
              <w:rPr>
                <w:rFonts w:cs="Times New Roman"/>
              </w:rPr>
              <w:t>presentation  to</w:t>
            </w:r>
            <w:proofErr w:type="gramEnd"/>
            <w:r>
              <w:rPr>
                <w:rFonts w:cs="Times New Roman"/>
              </w:rPr>
              <w:t xml:space="preserve"> SGC was. (Rosa will email docs for us to review.)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Jamila and Ro</w:t>
            </w:r>
            <w:r>
              <w:rPr>
                <w:rFonts w:cs="Times New Roman"/>
              </w:rPr>
              <w:t>sa try to regroup the committee by setting a meeting with Ronke and Kevin.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ColorfulList-Accent11"/>
              <w:ind w:left="0"/>
            </w:pPr>
            <w:r>
              <w:t xml:space="preserve">Student Equity Plan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Work session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We grouped our ideas further into three categories.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Hiring</w:t>
            </w:r>
          </w:p>
          <w:p w:rsidR="00000000" w:rsidRDefault="00EE67D4">
            <w:pPr>
              <w:numPr>
                <w:ilvl w:val="1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Tool  Kit-equity interview questions, rubric, job descriptions, recruitment, desirable</w:t>
            </w:r>
            <w:r>
              <w:rPr>
                <w:rFonts w:cs="Times New Roman"/>
              </w:rPr>
              <w:t>s</w:t>
            </w:r>
          </w:p>
          <w:p w:rsidR="00000000" w:rsidRDefault="00EE67D4">
            <w:pPr>
              <w:numPr>
                <w:ilvl w:val="1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Revive EEO Plan and Committee</w:t>
            </w:r>
          </w:p>
          <w:p w:rsidR="00000000" w:rsidRDefault="00EE67D4">
            <w:pPr>
              <w:numPr>
                <w:ilvl w:val="2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Annual Workplace Diversity Report</w:t>
            </w:r>
          </w:p>
          <w:p w:rsidR="00000000" w:rsidRDefault="00EE67D4">
            <w:pPr>
              <w:numPr>
                <w:ilvl w:val="1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Nexus/Employee Orientation</w:t>
            </w:r>
          </w:p>
          <w:p w:rsidR="00000000" w:rsidRDefault="00EE67D4">
            <w:pPr>
              <w:numPr>
                <w:ilvl w:val="2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New hires know LMC's commitment to equity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Building Community</w:t>
            </w:r>
          </w:p>
          <w:p w:rsidR="00000000" w:rsidRDefault="00EE67D4">
            <w:pPr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Time and space for collaboration</w:t>
            </w:r>
          </w:p>
          <w:p w:rsidR="00000000" w:rsidRDefault="00EE67D4">
            <w:pPr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LMC slogan-link to Habits of Mind</w:t>
            </w:r>
          </w:p>
          <w:p w:rsidR="00000000" w:rsidRDefault="00EE67D4">
            <w:pPr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PT Faculty inclusion</w:t>
            </w:r>
          </w:p>
          <w:p w:rsidR="00000000" w:rsidRDefault="00EE67D4">
            <w:pPr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Equity motto</w:t>
            </w:r>
          </w:p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>
              <w:rPr>
                <w:rFonts w:cs="Times New Roman"/>
              </w:rPr>
              <w:t>ntegration/Culture of Equity</w:t>
            </w:r>
          </w:p>
          <w:p w:rsidR="00000000" w:rsidRDefault="00EE67D4">
            <w:pPr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Assessment</w:t>
            </w:r>
          </w:p>
          <w:p w:rsidR="00000000" w:rsidRDefault="00EE67D4">
            <w:pPr>
              <w:numPr>
                <w:ilvl w:val="1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truth in assessment</w:t>
            </w:r>
          </w:p>
          <w:p w:rsidR="00000000" w:rsidRDefault="00EE67D4">
            <w:pPr>
              <w:numPr>
                <w:ilvl w:val="1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free retest</w:t>
            </w:r>
          </w:p>
          <w:p w:rsidR="00000000" w:rsidRDefault="00EE67D4">
            <w:pPr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Ethnic Studies Department</w:t>
            </w:r>
          </w:p>
          <w:p w:rsidR="00000000" w:rsidRDefault="00EE67D4">
            <w:pPr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Stating equity focused policies and procedures</w:t>
            </w:r>
          </w:p>
          <w:p w:rsidR="00000000" w:rsidRDefault="00EE67D4">
            <w:pPr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Late start cohort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ColorfulList-Accent11"/>
              <w:ind w:left="0"/>
            </w:pPr>
            <w:r>
              <w:t>Next Steps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Rosa, </w:t>
            </w:r>
            <w:proofErr w:type="spellStart"/>
            <w:r>
              <w:rPr>
                <w:rFonts w:cs="Times New Roman"/>
              </w:rPr>
              <w:t>Ad</w:t>
            </w:r>
            <w:r>
              <w:rPr>
                <w:rFonts w:cs="Times New Roman"/>
              </w:rPr>
              <w:t>é</w:t>
            </w:r>
            <w:proofErr w:type="spellEnd"/>
            <w:r>
              <w:rPr>
                <w:rFonts w:cs="Times New Roman"/>
              </w:rPr>
              <w:t xml:space="preserve">, Ryan, Erlinda and Dave will meet and work further on the Equity Plan </w:t>
            </w:r>
            <w:r>
              <w:rPr>
                <w:rFonts w:cs="Times New Roman"/>
              </w:rPr>
              <w:t>and bring to the next meeting.</w:t>
            </w:r>
          </w:p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ColorfulList-Accent11"/>
              <w:ind w:left="0"/>
            </w:pPr>
            <w:r>
              <w:t>Public Comment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rPr>
                <w:rFonts w:cs="Times New Roman"/>
              </w:rPr>
            </w:pPr>
            <w:r>
              <w:rPr>
                <w:rFonts w:cs="Times New Roman"/>
              </w:rPr>
              <w:t>Meeting adjourned</w:t>
            </w:r>
          </w:p>
          <w:p w:rsidR="00000000" w:rsidRDefault="00EE67D4"/>
        </w:tc>
      </w:tr>
      <w:tr w:rsidR="00000000">
        <w:trPr>
          <w:cantSplit/>
          <w:trHeight w:val="51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>
            <w:pPr>
              <w:pStyle w:val="ColorfulList-Accent11"/>
              <w:ind w:left="0"/>
            </w:pPr>
            <w:r>
              <w:t>New Agenda Items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E67D4"/>
        </w:tc>
      </w:tr>
    </w:tbl>
    <w:p w:rsidR="00000000" w:rsidRDefault="00EE67D4">
      <w:pPr>
        <w:rPr>
          <w:rFonts w:cs="Times New Roman"/>
          <w:u w:val="single"/>
        </w:rPr>
      </w:pPr>
      <w:r>
        <w:rPr>
          <w:rFonts w:cs="Times New Roman"/>
        </w:rPr>
        <w:tab/>
        <w:t>Note-taker:</w:t>
      </w:r>
      <w:r>
        <w:rPr>
          <w:rFonts w:cs="Times New Roman"/>
          <w:u w:val="single"/>
        </w:rPr>
        <w:tab/>
        <w:t>Erlinda Jones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sectPr w:rsidR="00000000">
      <w:pgSz w:w="15840" w:h="12240" w:orient="landscape"/>
      <w:pgMar w:top="432" w:right="432" w:bottom="432" w:left="432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Letter"/>
      <w:lvlText w:val="%2.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D4"/>
    <w:rsid w:val="00E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DefaultParagraphFont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DefaultParagraphFont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Ryan Pedersen</cp:lastModifiedBy>
  <cp:revision>2</cp:revision>
  <cp:lastPrinted>1601-01-01T00:00:00Z</cp:lastPrinted>
  <dcterms:created xsi:type="dcterms:W3CDTF">2013-11-18T19:00:00Z</dcterms:created>
  <dcterms:modified xsi:type="dcterms:W3CDTF">2013-11-18T19:00:00Z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