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DA" w:rsidRPr="00717592" w:rsidRDefault="00595EDA" w:rsidP="00595EDA">
      <w:pPr>
        <w:pStyle w:val="Header"/>
        <w:tabs>
          <w:tab w:val="clear" w:pos="4320"/>
          <w:tab w:val="clear" w:pos="8640"/>
          <w:tab w:val="center" w:pos="5580"/>
          <w:tab w:val="left" w:pos="7020"/>
          <w:tab w:val="right" w:pos="7380"/>
          <w:tab w:val="left" w:pos="8100"/>
        </w:tabs>
        <w:jc w:val="center"/>
        <w:rPr>
          <w:rFonts w:asciiTheme="majorHAnsi" w:hAnsiTheme="majorHAnsi"/>
          <w:b/>
          <w:bCs/>
          <w:sz w:val="20"/>
          <w:szCs w:val="20"/>
        </w:rPr>
      </w:pPr>
      <w:r w:rsidRPr="00717592">
        <w:rPr>
          <w:rFonts w:asciiTheme="majorHAnsi" w:hAnsiTheme="majorHAnsi"/>
          <w:b/>
          <w:bCs/>
          <w:sz w:val="20"/>
          <w:szCs w:val="20"/>
        </w:rPr>
        <w:t xml:space="preserve">Institutional Development for Equity and Access (IDEA) </w:t>
      </w:r>
    </w:p>
    <w:p w:rsidR="00595EDA" w:rsidRPr="00717592" w:rsidRDefault="00595EDA" w:rsidP="00595EDA">
      <w:pPr>
        <w:pStyle w:val="Header"/>
        <w:tabs>
          <w:tab w:val="clear" w:pos="4320"/>
          <w:tab w:val="clear" w:pos="8640"/>
          <w:tab w:val="center" w:pos="5580"/>
          <w:tab w:val="left" w:pos="7020"/>
          <w:tab w:val="right" w:pos="7380"/>
          <w:tab w:val="left" w:pos="8100"/>
        </w:tabs>
        <w:jc w:val="center"/>
        <w:rPr>
          <w:rFonts w:asciiTheme="majorHAnsi" w:hAnsiTheme="majorHAnsi"/>
          <w:b/>
          <w:bCs/>
          <w:sz w:val="20"/>
          <w:szCs w:val="20"/>
        </w:rPr>
      </w:pPr>
      <w:r w:rsidRPr="00717592">
        <w:rPr>
          <w:rFonts w:asciiTheme="majorHAnsi" w:hAnsiTheme="majorHAnsi"/>
          <w:b/>
          <w:bCs/>
          <w:sz w:val="20"/>
          <w:szCs w:val="20"/>
        </w:rPr>
        <w:t>AGENDA</w:t>
      </w:r>
    </w:p>
    <w:p w:rsidR="00595EDA" w:rsidRPr="00717592" w:rsidRDefault="00595EDA" w:rsidP="00595EDA">
      <w:pPr>
        <w:pStyle w:val="Header"/>
        <w:tabs>
          <w:tab w:val="clear" w:pos="4320"/>
          <w:tab w:val="clear" w:pos="8640"/>
          <w:tab w:val="left" w:pos="8540"/>
        </w:tabs>
        <w:jc w:val="center"/>
        <w:rPr>
          <w:rFonts w:asciiTheme="majorHAnsi" w:hAnsiTheme="majorHAnsi"/>
          <w:b/>
          <w:sz w:val="20"/>
          <w:szCs w:val="20"/>
        </w:rPr>
      </w:pPr>
      <w:r w:rsidRPr="00717592">
        <w:rPr>
          <w:rFonts w:asciiTheme="majorHAnsi" w:hAnsiTheme="majorHAnsi"/>
          <w:b/>
          <w:sz w:val="20"/>
          <w:szCs w:val="20"/>
        </w:rPr>
        <w:t xml:space="preserve">DATE: </w:t>
      </w:r>
      <w:r w:rsidR="00BD37C7" w:rsidRPr="00717592">
        <w:rPr>
          <w:rFonts w:asciiTheme="majorHAnsi" w:hAnsiTheme="majorHAnsi"/>
          <w:b/>
          <w:sz w:val="20"/>
          <w:szCs w:val="20"/>
        </w:rPr>
        <w:t>January 30, 2014</w:t>
      </w:r>
    </w:p>
    <w:p w:rsidR="00595EDA" w:rsidRPr="00717592" w:rsidRDefault="00355BD3" w:rsidP="00595EDA">
      <w:pPr>
        <w:pStyle w:val="Header"/>
        <w:tabs>
          <w:tab w:val="clear" w:pos="4320"/>
          <w:tab w:val="clear" w:pos="8640"/>
          <w:tab w:val="left" w:pos="8540"/>
        </w:tabs>
        <w:jc w:val="center"/>
        <w:rPr>
          <w:rFonts w:asciiTheme="majorHAnsi" w:hAnsiTheme="majorHAnsi"/>
          <w:b/>
          <w:sz w:val="20"/>
          <w:szCs w:val="20"/>
        </w:rPr>
      </w:pPr>
      <w:r w:rsidRPr="00717592">
        <w:rPr>
          <w:rFonts w:asciiTheme="majorHAnsi" w:hAnsiTheme="majorHAnsi"/>
          <w:b/>
          <w:sz w:val="20"/>
          <w:szCs w:val="20"/>
        </w:rPr>
        <w:t xml:space="preserve">TIME: 2:00pm – 3:30pm </w:t>
      </w:r>
    </w:p>
    <w:p w:rsidR="00595EDA" w:rsidRPr="00717592" w:rsidRDefault="00595EDA" w:rsidP="00595EDA">
      <w:pPr>
        <w:pStyle w:val="Header"/>
        <w:tabs>
          <w:tab w:val="clear" w:pos="4320"/>
          <w:tab w:val="clear" w:pos="8640"/>
          <w:tab w:val="left" w:pos="8540"/>
        </w:tabs>
        <w:jc w:val="center"/>
        <w:rPr>
          <w:rFonts w:asciiTheme="majorHAnsi" w:hAnsiTheme="majorHAnsi"/>
          <w:b/>
          <w:sz w:val="20"/>
          <w:szCs w:val="20"/>
        </w:rPr>
      </w:pPr>
      <w:r w:rsidRPr="00717592">
        <w:rPr>
          <w:rFonts w:asciiTheme="majorHAnsi" w:hAnsiTheme="majorHAnsi"/>
          <w:b/>
          <w:sz w:val="20"/>
          <w:szCs w:val="20"/>
        </w:rPr>
        <w:t xml:space="preserve">LOCATION:  </w:t>
      </w:r>
      <w:r w:rsidR="00BD37C7" w:rsidRPr="00717592">
        <w:rPr>
          <w:rFonts w:asciiTheme="majorHAnsi" w:hAnsiTheme="majorHAnsi"/>
          <w:b/>
          <w:sz w:val="20"/>
          <w:szCs w:val="20"/>
        </w:rPr>
        <w:t>Library Conference Room 1 (L106</w:t>
      </w:r>
      <w:r w:rsidR="00A11C4C" w:rsidRPr="00717592">
        <w:rPr>
          <w:rFonts w:asciiTheme="majorHAnsi" w:hAnsiTheme="majorHAnsi"/>
          <w:b/>
          <w:sz w:val="20"/>
          <w:szCs w:val="20"/>
        </w:rPr>
        <w:t>)</w:t>
      </w:r>
      <w:r w:rsidRPr="00717592">
        <w:rPr>
          <w:rFonts w:asciiTheme="majorHAnsi" w:hAnsiTheme="majorHAnsi"/>
          <w:b/>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4570"/>
        <w:gridCol w:w="9504"/>
      </w:tblGrid>
      <w:tr w:rsidR="00EB410D" w:rsidRPr="00717592" w:rsidTr="00EB410D">
        <w:trPr>
          <w:trHeight w:val="413"/>
          <w:jc w:val="center"/>
        </w:trPr>
        <w:tc>
          <w:tcPr>
            <w:tcW w:w="368" w:type="pct"/>
          </w:tcPr>
          <w:p w:rsidR="00EB410D" w:rsidRPr="00717592" w:rsidRDefault="00EB410D" w:rsidP="00357860">
            <w:pPr>
              <w:pStyle w:val="Heading1"/>
              <w:rPr>
                <w:rFonts w:asciiTheme="majorHAnsi" w:hAnsiTheme="majorHAnsi"/>
              </w:rPr>
            </w:pPr>
            <w:r w:rsidRPr="00717592">
              <w:rPr>
                <w:rFonts w:asciiTheme="majorHAnsi" w:hAnsiTheme="majorHAnsi"/>
              </w:rPr>
              <w:t>Item #</w:t>
            </w:r>
          </w:p>
        </w:tc>
        <w:tc>
          <w:tcPr>
            <w:tcW w:w="1504" w:type="pct"/>
          </w:tcPr>
          <w:p w:rsidR="00EB410D" w:rsidRPr="00717592" w:rsidRDefault="00EB410D" w:rsidP="00357860">
            <w:pPr>
              <w:jc w:val="center"/>
              <w:rPr>
                <w:rFonts w:asciiTheme="majorHAnsi" w:hAnsiTheme="majorHAnsi" w:cs="Times New Roman"/>
                <w:b/>
                <w:bCs/>
                <w:i/>
                <w:iCs/>
              </w:rPr>
            </w:pPr>
            <w:r w:rsidRPr="00717592">
              <w:rPr>
                <w:rFonts w:asciiTheme="majorHAnsi" w:hAnsiTheme="majorHAnsi" w:cs="Times New Roman"/>
                <w:b/>
                <w:bCs/>
                <w:i/>
                <w:iCs/>
              </w:rPr>
              <w:t>Topic/Activity</w:t>
            </w:r>
          </w:p>
        </w:tc>
        <w:tc>
          <w:tcPr>
            <w:tcW w:w="3128" w:type="pct"/>
          </w:tcPr>
          <w:p w:rsidR="00EB410D" w:rsidRPr="00717592" w:rsidRDefault="00EB410D" w:rsidP="00357860">
            <w:pPr>
              <w:jc w:val="center"/>
              <w:rPr>
                <w:rFonts w:asciiTheme="majorHAnsi" w:hAnsiTheme="majorHAnsi" w:cs="Times New Roman"/>
                <w:b/>
                <w:bCs/>
                <w:i/>
                <w:iCs/>
              </w:rPr>
            </w:pPr>
            <w:r>
              <w:rPr>
                <w:rFonts w:asciiTheme="majorHAnsi" w:hAnsiTheme="majorHAnsi" w:cs="Times New Roman"/>
                <w:b/>
                <w:bCs/>
                <w:i/>
                <w:iCs/>
              </w:rPr>
              <w:t>Notes</w:t>
            </w:r>
          </w:p>
        </w:tc>
      </w:tr>
      <w:tr w:rsidR="00EB410D" w:rsidRPr="00717592" w:rsidTr="00EB410D">
        <w:trPr>
          <w:trHeight w:val="332"/>
          <w:jc w:val="center"/>
        </w:trPr>
        <w:tc>
          <w:tcPr>
            <w:tcW w:w="368" w:type="pct"/>
          </w:tcPr>
          <w:p w:rsidR="00EB410D" w:rsidRPr="00717592" w:rsidRDefault="00EB410D" w:rsidP="00A768D2">
            <w:pPr>
              <w:numPr>
                <w:ilvl w:val="0"/>
                <w:numId w:val="1"/>
              </w:numPr>
              <w:spacing w:after="0" w:line="240" w:lineRule="auto"/>
              <w:jc w:val="center"/>
              <w:rPr>
                <w:rFonts w:asciiTheme="majorHAnsi" w:hAnsiTheme="majorHAnsi" w:cs="Times New Roman"/>
              </w:rPr>
            </w:pPr>
          </w:p>
        </w:tc>
        <w:tc>
          <w:tcPr>
            <w:tcW w:w="1504" w:type="pct"/>
          </w:tcPr>
          <w:p w:rsidR="00EB410D" w:rsidRPr="00717592" w:rsidRDefault="00EB410D" w:rsidP="00694A60">
            <w:pPr>
              <w:rPr>
                <w:rFonts w:asciiTheme="majorHAnsi" w:hAnsiTheme="majorHAnsi" w:cs="Times New Roman"/>
              </w:rPr>
            </w:pPr>
            <w:r w:rsidRPr="00717592">
              <w:rPr>
                <w:rFonts w:asciiTheme="majorHAnsi" w:hAnsiTheme="majorHAnsi" w:cs="Times New Roman"/>
              </w:rPr>
              <w:t>Welcome and Announcements</w:t>
            </w:r>
          </w:p>
        </w:tc>
        <w:tc>
          <w:tcPr>
            <w:tcW w:w="3128" w:type="pct"/>
          </w:tcPr>
          <w:p w:rsidR="00EB410D" w:rsidRDefault="00EB410D" w:rsidP="00EB410D">
            <w:pPr>
              <w:pStyle w:val="ListParagraph"/>
              <w:numPr>
                <w:ilvl w:val="0"/>
                <w:numId w:val="9"/>
              </w:numPr>
              <w:rPr>
                <w:rFonts w:asciiTheme="majorHAnsi" w:hAnsiTheme="majorHAnsi" w:cs="Times New Roman"/>
              </w:rPr>
            </w:pPr>
            <w:r w:rsidRPr="00EB410D">
              <w:rPr>
                <w:rFonts w:asciiTheme="majorHAnsi" w:hAnsiTheme="majorHAnsi" w:cs="Times New Roman"/>
              </w:rPr>
              <w:t>Erlinda welcomed the group and called the meeting to order.</w:t>
            </w:r>
          </w:p>
          <w:p w:rsidR="00EB410D" w:rsidRDefault="00EB410D" w:rsidP="00EB410D">
            <w:pPr>
              <w:pStyle w:val="ListParagraph"/>
              <w:numPr>
                <w:ilvl w:val="0"/>
                <w:numId w:val="9"/>
              </w:numPr>
              <w:rPr>
                <w:rFonts w:asciiTheme="majorHAnsi" w:hAnsiTheme="majorHAnsi" w:cs="Times New Roman"/>
              </w:rPr>
            </w:pPr>
            <w:r>
              <w:rPr>
                <w:rFonts w:asciiTheme="majorHAnsi" w:hAnsiTheme="majorHAnsi" w:cs="Times New Roman"/>
              </w:rPr>
              <w:t>Jamila noted as a point of reference for the groups work on EEO issues that this year marks the 60</w:t>
            </w:r>
            <w:r w:rsidRPr="00EB410D">
              <w:rPr>
                <w:rFonts w:asciiTheme="majorHAnsi" w:hAnsiTheme="majorHAnsi" w:cs="Times New Roman"/>
                <w:vertAlign w:val="superscript"/>
              </w:rPr>
              <w:t>th</w:t>
            </w:r>
            <w:r>
              <w:rPr>
                <w:rFonts w:asciiTheme="majorHAnsi" w:hAnsiTheme="majorHAnsi" w:cs="Times New Roman"/>
              </w:rPr>
              <w:t xml:space="preserve"> anniversary of the Civil Rights Act – EEOC was a huge component of that act in 1964.</w:t>
            </w:r>
          </w:p>
          <w:p w:rsidR="00EB410D" w:rsidRDefault="00EB410D" w:rsidP="00EB410D">
            <w:pPr>
              <w:pStyle w:val="ListParagraph"/>
              <w:numPr>
                <w:ilvl w:val="0"/>
                <w:numId w:val="9"/>
              </w:numPr>
              <w:rPr>
                <w:rFonts w:asciiTheme="majorHAnsi" w:hAnsiTheme="majorHAnsi" w:cs="Times New Roman"/>
              </w:rPr>
            </w:pPr>
            <w:r>
              <w:rPr>
                <w:rFonts w:asciiTheme="majorHAnsi" w:hAnsiTheme="majorHAnsi" w:cs="Times New Roman"/>
              </w:rPr>
              <w:t>The national them for Black History month is a civil rights focus</w:t>
            </w:r>
          </w:p>
          <w:p w:rsidR="00EB410D" w:rsidRPr="00717592" w:rsidRDefault="00EB410D" w:rsidP="00EB410D">
            <w:pPr>
              <w:pStyle w:val="ListParagraph"/>
              <w:numPr>
                <w:ilvl w:val="0"/>
                <w:numId w:val="9"/>
              </w:numPr>
              <w:rPr>
                <w:rFonts w:asciiTheme="majorHAnsi" w:hAnsiTheme="majorHAnsi" w:cs="Times New Roman"/>
              </w:rPr>
            </w:pPr>
            <w:r>
              <w:rPr>
                <w:rFonts w:asciiTheme="majorHAnsi" w:hAnsiTheme="majorHAnsi" w:cs="Times New Roman"/>
              </w:rPr>
              <w:t>The library will be working on a Black History Month display.</w:t>
            </w:r>
          </w:p>
        </w:tc>
      </w:tr>
      <w:tr w:rsidR="00EB410D" w:rsidRPr="00717592" w:rsidTr="00EB410D">
        <w:trPr>
          <w:trHeight w:val="332"/>
          <w:jc w:val="center"/>
        </w:trPr>
        <w:tc>
          <w:tcPr>
            <w:tcW w:w="368" w:type="pct"/>
          </w:tcPr>
          <w:p w:rsidR="00EB410D" w:rsidRPr="00717592" w:rsidRDefault="00EB410D" w:rsidP="00A768D2">
            <w:pPr>
              <w:numPr>
                <w:ilvl w:val="0"/>
                <w:numId w:val="1"/>
              </w:numPr>
              <w:spacing w:after="0" w:line="240" w:lineRule="auto"/>
              <w:jc w:val="center"/>
              <w:rPr>
                <w:rFonts w:asciiTheme="majorHAnsi" w:hAnsiTheme="majorHAnsi" w:cs="Times New Roman"/>
              </w:rPr>
            </w:pPr>
          </w:p>
        </w:tc>
        <w:tc>
          <w:tcPr>
            <w:tcW w:w="1504" w:type="pct"/>
          </w:tcPr>
          <w:p w:rsidR="00EB410D" w:rsidRPr="00717592" w:rsidRDefault="00EB410D" w:rsidP="00792B5E">
            <w:pPr>
              <w:rPr>
                <w:rFonts w:asciiTheme="majorHAnsi" w:hAnsiTheme="majorHAnsi" w:cs="Times New Roman"/>
              </w:rPr>
            </w:pPr>
            <w:r w:rsidRPr="00717592">
              <w:rPr>
                <w:rFonts w:asciiTheme="majorHAnsi" w:hAnsiTheme="majorHAnsi" w:cs="Times New Roman"/>
              </w:rPr>
              <w:t>Agenda and Minute Approval</w:t>
            </w:r>
          </w:p>
        </w:tc>
        <w:tc>
          <w:tcPr>
            <w:tcW w:w="3128" w:type="pct"/>
          </w:tcPr>
          <w:p w:rsidR="00EB410D" w:rsidRDefault="00EB410D" w:rsidP="00EB410D">
            <w:pPr>
              <w:pStyle w:val="ListParagraph"/>
              <w:numPr>
                <w:ilvl w:val="0"/>
                <w:numId w:val="10"/>
              </w:numPr>
              <w:rPr>
                <w:rFonts w:asciiTheme="majorHAnsi" w:hAnsiTheme="majorHAnsi" w:cs="Times New Roman"/>
              </w:rPr>
            </w:pPr>
            <w:r>
              <w:rPr>
                <w:rFonts w:asciiTheme="majorHAnsi" w:hAnsiTheme="majorHAnsi" w:cs="Times New Roman"/>
              </w:rPr>
              <w:t>There was a note on the minutes that item #5 of November’s minutes was not read at Senate as expected. Ryan attended the meeting to read the statement, but the meeting was not on schedule and no time was afforded for that to be completed. The item is currently tabled pending further developments.</w:t>
            </w:r>
          </w:p>
          <w:p w:rsidR="00EB410D" w:rsidRPr="00EB410D" w:rsidRDefault="00EB410D" w:rsidP="00EB410D">
            <w:pPr>
              <w:pStyle w:val="ListParagraph"/>
              <w:numPr>
                <w:ilvl w:val="0"/>
                <w:numId w:val="10"/>
              </w:numPr>
              <w:rPr>
                <w:rFonts w:asciiTheme="majorHAnsi" w:hAnsiTheme="majorHAnsi" w:cs="Times New Roman"/>
              </w:rPr>
            </w:pPr>
            <w:r>
              <w:rPr>
                <w:rFonts w:asciiTheme="majorHAnsi" w:hAnsiTheme="majorHAnsi" w:cs="Times New Roman"/>
              </w:rPr>
              <w:t>The Agend</w:t>
            </w:r>
            <w:r w:rsidR="00375A4A">
              <w:rPr>
                <w:rFonts w:asciiTheme="majorHAnsi" w:hAnsiTheme="majorHAnsi" w:cs="Times New Roman"/>
              </w:rPr>
              <w:t>a and Minutes were passed unani</w:t>
            </w:r>
            <w:r>
              <w:rPr>
                <w:rFonts w:asciiTheme="majorHAnsi" w:hAnsiTheme="majorHAnsi" w:cs="Times New Roman"/>
              </w:rPr>
              <w:t>mously (M/S – Goff/</w:t>
            </w:r>
            <w:proofErr w:type="spellStart"/>
            <w:r>
              <w:rPr>
                <w:rFonts w:asciiTheme="majorHAnsi" w:hAnsiTheme="majorHAnsi" w:cs="Times New Roman"/>
              </w:rPr>
              <w:t>Gunder</w:t>
            </w:r>
            <w:proofErr w:type="spellEnd"/>
            <w:r>
              <w:rPr>
                <w:rFonts w:asciiTheme="majorHAnsi" w:hAnsiTheme="majorHAnsi" w:cs="Times New Roman"/>
              </w:rPr>
              <w:t>)</w:t>
            </w:r>
          </w:p>
        </w:tc>
      </w:tr>
      <w:tr w:rsidR="00EB410D" w:rsidRPr="00717592" w:rsidTr="00EB410D">
        <w:trPr>
          <w:trHeight w:val="332"/>
          <w:jc w:val="center"/>
        </w:trPr>
        <w:tc>
          <w:tcPr>
            <w:tcW w:w="368" w:type="pct"/>
          </w:tcPr>
          <w:p w:rsidR="00EB410D" w:rsidRPr="00717592" w:rsidRDefault="00EB410D" w:rsidP="00A768D2">
            <w:pPr>
              <w:numPr>
                <w:ilvl w:val="0"/>
                <w:numId w:val="1"/>
              </w:numPr>
              <w:spacing w:after="0" w:line="240" w:lineRule="auto"/>
              <w:jc w:val="center"/>
              <w:rPr>
                <w:rFonts w:asciiTheme="majorHAnsi" w:hAnsiTheme="majorHAnsi" w:cs="Times New Roman"/>
              </w:rPr>
            </w:pPr>
          </w:p>
        </w:tc>
        <w:tc>
          <w:tcPr>
            <w:tcW w:w="1504" w:type="pct"/>
          </w:tcPr>
          <w:p w:rsidR="00EB410D" w:rsidRPr="00717592" w:rsidRDefault="00EB410D" w:rsidP="00EB410D">
            <w:pPr>
              <w:rPr>
                <w:rFonts w:asciiTheme="majorHAnsi" w:hAnsiTheme="majorHAnsi" w:cs="Times New Roman"/>
              </w:rPr>
            </w:pPr>
            <w:r w:rsidRPr="00717592">
              <w:rPr>
                <w:rFonts w:asciiTheme="majorHAnsi" w:hAnsiTheme="majorHAnsi" w:cs="Times New Roman"/>
              </w:rPr>
              <w:t>SGC Charges</w:t>
            </w:r>
          </w:p>
        </w:tc>
        <w:tc>
          <w:tcPr>
            <w:tcW w:w="3128" w:type="pct"/>
          </w:tcPr>
          <w:p w:rsidR="00EB410D" w:rsidRDefault="00375A4A" w:rsidP="00375A4A">
            <w:pPr>
              <w:pStyle w:val="ListParagraph"/>
              <w:numPr>
                <w:ilvl w:val="0"/>
                <w:numId w:val="11"/>
              </w:numPr>
              <w:rPr>
                <w:rFonts w:asciiTheme="majorHAnsi" w:hAnsiTheme="majorHAnsi" w:cs="Times New Roman"/>
              </w:rPr>
            </w:pPr>
            <w:r>
              <w:rPr>
                <w:rFonts w:asciiTheme="majorHAnsi" w:hAnsiTheme="majorHAnsi" w:cs="Times New Roman"/>
              </w:rPr>
              <w:t>Ryan gave an overview of the charges received from SGC.</w:t>
            </w:r>
          </w:p>
          <w:p w:rsidR="00375A4A" w:rsidRDefault="00375A4A" w:rsidP="00375A4A">
            <w:pPr>
              <w:pStyle w:val="ListParagraph"/>
              <w:numPr>
                <w:ilvl w:val="0"/>
                <w:numId w:val="11"/>
              </w:numPr>
              <w:rPr>
                <w:rFonts w:asciiTheme="majorHAnsi" w:hAnsiTheme="majorHAnsi" w:cs="Times New Roman"/>
              </w:rPr>
            </w:pPr>
            <w:r>
              <w:rPr>
                <w:rFonts w:asciiTheme="majorHAnsi" w:hAnsiTheme="majorHAnsi" w:cs="Times New Roman"/>
              </w:rPr>
              <w:t>The charges can be found on the IDEA webpage.</w:t>
            </w:r>
          </w:p>
          <w:p w:rsidR="00375A4A" w:rsidRDefault="00375A4A" w:rsidP="00375A4A">
            <w:pPr>
              <w:pStyle w:val="ListParagraph"/>
              <w:numPr>
                <w:ilvl w:val="0"/>
                <w:numId w:val="11"/>
              </w:numPr>
              <w:rPr>
                <w:rFonts w:asciiTheme="majorHAnsi" w:hAnsiTheme="majorHAnsi" w:cs="Times New Roman"/>
              </w:rPr>
            </w:pPr>
            <w:r>
              <w:rPr>
                <w:rFonts w:asciiTheme="majorHAnsi" w:hAnsiTheme="majorHAnsi" w:cs="Times New Roman"/>
              </w:rPr>
              <w:t>While these were the charges that IDEA requested, IDEA requested additionally that Planning also be charged with a “joint charge” to ensure that both committees were accountable for action.</w:t>
            </w:r>
          </w:p>
          <w:p w:rsidR="00375A4A" w:rsidRDefault="00375A4A" w:rsidP="00375A4A">
            <w:pPr>
              <w:pStyle w:val="ListParagraph"/>
              <w:numPr>
                <w:ilvl w:val="0"/>
                <w:numId w:val="11"/>
              </w:numPr>
              <w:rPr>
                <w:rFonts w:asciiTheme="majorHAnsi" w:hAnsiTheme="majorHAnsi" w:cs="Times New Roman"/>
              </w:rPr>
            </w:pPr>
            <w:r>
              <w:rPr>
                <w:rFonts w:asciiTheme="majorHAnsi" w:hAnsiTheme="majorHAnsi" w:cs="Times New Roman"/>
              </w:rPr>
              <w:t>Planning was not charged with this charge as well.</w:t>
            </w:r>
          </w:p>
          <w:p w:rsidR="00375A4A" w:rsidRDefault="00375A4A" w:rsidP="00375A4A">
            <w:pPr>
              <w:pStyle w:val="ListParagraph"/>
              <w:numPr>
                <w:ilvl w:val="0"/>
                <w:numId w:val="11"/>
              </w:numPr>
              <w:rPr>
                <w:rFonts w:asciiTheme="majorHAnsi" w:hAnsiTheme="majorHAnsi" w:cs="Times New Roman"/>
              </w:rPr>
            </w:pPr>
            <w:r>
              <w:rPr>
                <w:rFonts w:asciiTheme="majorHAnsi" w:hAnsiTheme="majorHAnsi" w:cs="Times New Roman"/>
              </w:rPr>
              <w:t xml:space="preserve">There was concern over </w:t>
            </w:r>
            <w:proofErr w:type="gramStart"/>
            <w:r>
              <w:rPr>
                <w:rFonts w:asciiTheme="majorHAnsi" w:hAnsiTheme="majorHAnsi" w:cs="Times New Roman"/>
              </w:rPr>
              <w:t>Planning</w:t>
            </w:r>
            <w:proofErr w:type="gramEnd"/>
            <w:r>
              <w:rPr>
                <w:rFonts w:asciiTheme="majorHAnsi" w:hAnsiTheme="majorHAnsi" w:cs="Times New Roman"/>
              </w:rPr>
              <w:t xml:space="preserve"> not being so charged as the committee felt that this would reinforce the feeling that IDEA was the equity police on campus.</w:t>
            </w:r>
          </w:p>
          <w:p w:rsidR="00260311" w:rsidRDefault="00260311" w:rsidP="00375A4A">
            <w:pPr>
              <w:pStyle w:val="ListParagraph"/>
              <w:numPr>
                <w:ilvl w:val="0"/>
                <w:numId w:val="11"/>
              </w:numPr>
              <w:rPr>
                <w:rFonts w:asciiTheme="majorHAnsi" w:hAnsiTheme="majorHAnsi" w:cs="Times New Roman"/>
              </w:rPr>
            </w:pPr>
            <w:r>
              <w:rPr>
                <w:rFonts w:asciiTheme="majorHAnsi" w:hAnsiTheme="majorHAnsi" w:cs="Times New Roman"/>
              </w:rPr>
              <w:t>Equity needs to be part of our Institutional Effectiveness component of the college.</w:t>
            </w:r>
          </w:p>
          <w:p w:rsidR="00260311" w:rsidRDefault="00260311" w:rsidP="00375A4A">
            <w:pPr>
              <w:pStyle w:val="ListParagraph"/>
              <w:numPr>
                <w:ilvl w:val="0"/>
                <w:numId w:val="11"/>
              </w:numPr>
              <w:rPr>
                <w:rFonts w:asciiTheme="majorHAnsi" w:hAnsiTheme="majorHAnsi" w:cs="Times New Roman"/>
              </w:rPr>
            </w:pPr>
            <w:r>
              <w:rPr>
                <w:rFonts w:asciiTheme="majorHAnsi" w:hAnsiTheme="majorHAnsi" w:cs="Times New Roman"/>
              </w:rPr>
              <w:t>There was a suggestion that we go back to SGC and see why planning was not charged as well.</w:t>
            </w:r>
          </w:p>
          <w:p w:rsidR="00260311" w:rsidRDefault="00260311" w:rsidP="00375A4A">
            <w:pPr>
              <w:pStyle w:val="ListParagraph"/>
              <w:numPr>
                <w:ilvl w:val="0"/>
                <w:numId w:val="11"/>
              </w:numPr>
              <w:rPr>
                <w:rFonts w:asciiTheme="majorHAnsi" w:hAnsiTheme="majorHAnsi" w:cs="Times New Roman"/>
              </w:rPr>
            </w:pPr>
            <w:r>
              <w:rPr>
                <w:rFonts w:asciiTheme="majorHAnsi" w:hAnsiTheme="majorHAnsi" w:cs="Times New Roman"/>
              </w:rPr>
              <w:t>Perhaps we should ask that equity be a standing item on the planning agenda.</w:t>
            </w:r>
          </w:p>
          <w:p w:rsidR="00260311" w:rsidRDefault="00260311" w:rsidP="00260311">
            <w:pPr>
              <w:pStyle w:val="ListParagraph"/>
              <w:numPr>
                <w:ilvl w:val="0"/>
                <w:numId w:val="11"/>
              </w:numPr>
              <w:rPr>
                <w:rFonts w:asciiTheme="majorHAnsi" w:hAnsiTheme="majorHAnsi" w:cs="Times New Roman"/>
              </w:rPr>
            </w:pPr>
            <w:r>
              <w:rPr>
                <w:rFonts w:asciiTheme="majorHAnsi" w:hAnsiTheme="majorHAnsi" w:cs="Times New Roman"/>
              </w:rPr>
              <w:t xml:space="preserve">It was suggested that Rosa Armendariz be asked in what way this could be addressed given the relationship between the Title V </w:t>
            </w:r>
            <w:proofErr w:type="spellStart"/>
            <w:r>
              <w:rPr>
                <w:rFonts w:asciiTheme="majorHAnsi" w:hAnsiTheme="majorHAnsi" w:cs="Times New Roman"/>
              </w:rPr>
              <w:t>Exito</w:t>
            </w:r>
            <w:proofErr w:type="spellEnd"/>
            <w:r>
              <w:rPr>
                <w:rFonts w:asciiTheme="majorHAnsi" w:hAnsiTheme="majorHAnsi" w:cs="Times New Roman"/>
              </w:rPr>
              <w:t xml:space="preserve"> grant and the Senior Dean of Planning and Institutional Effectiveness.</w:t>
            </w:r>
          </w:p>
          <w:p w:rsidR="00260311" w:rsidRDefault="00260311" w:rsidP="00260311">
            <w:pPr>
              <w:pStyle w:val="ListParagraph"/>
              <w:numPr>
                <w:ilvl w:val="0"/>
                <w:numId w:val="11"/>
              </w:numPr>
              <w:rPr>
                <w:rFonts w:asciiTheme="majorHAnsi" w:hAnsiTheme="majorHAnsi" w:cs="Times New Roman"/>
              </w:rPr>
            </w:pPr>
            <w:r>
              <w:rPr>
                <w:rFonts w:asciiTheme="majorHAnsi" w:hAnsiTheme="majorHAnsi" w:cs="Times New Roman"/>
              </w:rPr>
              <w:t xml:space="preserve">It was </w:t>
            </w:r>
            <w:r w:rsidRPr="00260311">
              <w:rPr>
                <w:rFonts w:asciiTheme="majorHAnsi" w:hAnsiTheme="majorHAnsi" w:cs="Times New Roman"/>
              </w:rPr>
              <w:t xml:space="preserve">felt that </w:t>
            </w:r>
            <w:r>
              <w:rPr>
                <w:rFonts w:asciiTheme="majorHAnsi" w:hAnsiTheme="majorHAnsi" w:cs="Times New Roman"/>
              </w:rPr>
              <w:t xml:space="preserve">a joint </w:t>
            </w:r>
            <w:r w:rsidRPr="00260311">
              <w:rPr>
                <w:rFonts w:asciiTheme="majorHAnsi" w:hAnsiTheme="majorHAnsi" w:cs="Times New Roman"/>
              </w:rPr>
              <w:t xml:space="preserve">Planning </w:t>
            </w:r>
            <w:r>
              <w:rPr>
                <w:rFonts w:asciiTheme="majorHAnsi" w:hAnsiTheme="majorHAnsi" w:cs="Times New Roman"/>
              </w:rPr>
              <w:t>charge</w:t>
            </w:r>
            <w:r w:rsidRPr="00260311">
              <w:rPr>
                <w:rFonts w:asciiTheme="majorHAnsi" w:hAnsiTheme="majorHAnsi" w:cs="Times New Roman"/>
              </w:rPr>
              <w:t xml:space="preserve"> would be a </w:t>
            </w:r>
            <w:r>
              <w:rPr>
                <w:rFonts w:asciiTheme="majorHAnsi" w:hAnsiTheme="majorHAnsi" w:cs="Times New Roman"/>
              </w:rPr>
              <w:t>“</w:t>
            </w:r>
            <w:proofErr w:type="gramStart"/>
            <w:r w:rsidRPr="00260311">
              <w:rPr>
                <w:rFonts w:asciiTheme="majorHAnsi" w:hAnsiTheme="majorHAnsi" w:cs="Times New Roman"/>
              </w:rPr>
              <w:t>mindful</w:t>
            </w:r>
            <w:proofErr w:type="gramEnd"/>
            <w:r>
              <w:rPr>
                <w:rFonts w:asciiTheme="majorHAnsi" w:hAnsiTheme="majorHAnsi" w:cs="Times New Roman"/>
              </w:rPr>
              <w:t>”</w:t>
            </w:r>
            <w:r w:rsidRPr="00260311">
              <w:rPr>
                <w:rFonts w:asciiTheme="majorHAnsi" w:hAnsiTheme="majorHAnsi" w:cs="Times New Roman"/>
              </w:rPr>
              <w:t xml:space="preserve"> charge.</w:t>
            </w:r>
          </w:p>
          <w:p w:rsidR="00260311" w:rsidRDefault="00260311" w:rsidP="00260311">
            <w:pPr>
              <w:pStyle w:val="ListParagraph"/>
              <w:numPr>
                <w:ilvl w:val="0"/>
                <w:numId w:val="11"/>
              </w:numPr>
              <w:rPr>
                <w:rFonts w:asciiTheme="majorHAnsi" w:hAnsiTheme="majorHAnsi" w:cs="Times New Roman"/>
              </w:rPr>
            </w:pPr>
            <w:r>
              <w:rPr>
                <w:rFonts w:asciiTheme="majorHAnsi" w:hAnsiTheme="majorHAnsi" w:cs="Times New Roman"/>
              </w:rPr>
              <w:t>It was discussed that without this joint charge, it is unclear if any changes to the program review process to reflect and emphasis on equity will be made.</w:t>
            </w:r>
          </w:p>
          <w:p w:rsidR="00260311" w:rsidRDefault="00260311" w:rsidP="00260311">
            <w:pPr>
              <w:pStyle w:val="ListParagraph"/>
              <w:numPr>
                <w:ilvl w:val="0"/>
                <w:numId w:val="11"/>
              </w:numPr>
              <w:rPr>
                <w:rFonts w:asciiTheme="majorHAnsi" w:hAnsiTheme="majorHAnsi" w:cs="Times New Roman"/>
              </w:rPr>
            </w:pPr>
            <w:r>
              <w:rPr>
                <w:rFonts w:asciiTheme="majorHAnsi" w:hAnsiTheme="majorHAnsi" w:cs="Times New Roman"/>
              </w:rPr>
              <w:lastRenderedPageBreak/>
              <w:t>There is concern on the committee about being used as simply an equity checkbox on campus.</w:t>
            </w:r>
          </w:p>
          <w:p w:rsidR="00260311" w:rsidRPr="00260311" w:rsidRDefault="003A3D13" w:rsidP="003A3D13">
            <w:pPr>
              <w:pStyle w:val="ListParagraph"/>
              <w:numPr>
                <w:ilvl w:val="0"/>
                <w:numId w:val="11"/>
              </w:numPr>
              <w:rPr>
                <w:rFonts w:asciiTheme="majorHAnsi" w:hAnsiTheme="majorHAnsi" w:cs="Times New Roman"/>
                <w:b/>
              </w:rPr>
            </w:pPr>
            <w:r>
              <w:rPr>
                <w:rFonts w:asciiTheme="majorHAnsi" w:hAnsiTheme="majorHAnsi" w:cs="Times New Roman"/>
                <w:b/>
              </w:rPr>
              <w:t>It was decided that Ryan and Erlinda</w:t>
            </w:r>
            <w:r w:rsidR="00260311" w:rsidRPr="00260311">
              <w:rPr>
                <w:rFonts w:asciiTheme="majorHAnsi" w:hAnsiTheme="majorHAnsi" w:cs="Times New Roman"/>
                <w:b/>
              </w:rPr>
              <w:t xml:space="preserve"> would request a more formal explanation from SGC regarding why planning is not being charged with </w:t>
            </w:r>
            <w:r>
              <w:rPr>
                <w:rFonts w:asciiTheme="majorHAnsi" w:hAnsiTheme="majorHAnsi" w:cs="Times New Roman"/>
                <w:b/>
              </w:rPr>
              <w:t xml:space="preserve">our second </w:t>
            </w:r>
            <w:r w:rsidR="00260311" w:rsidRPr="00260311">
              <w:rPr>
                <w:rFonts w:asciiTheme="majorHAnsi" w:hAnsiTheme="majorHAnsi" w:cs="Times New Roman"/>
                <w:b/>
              </w:rPr>
              <w:t xml:space="preserve">charge </w:t>
            </w:r>
            <w:r>
              <w:rPr>
                <w:rFonts w:asciiTheme="majorHAnsi" w:hAnsiTheme="majorHAnsi" w:cs="Times New Roman"/>
                <w:b/>
              </w:rPr>
              <w:t>with us</w:t>
            </w:r>
            <w:r w:rsidR="00260311" w:rsidRPr="00260311">
              <w:rPr>
                <w:rFonts w:asciiTheme="majorHAnsi" w:hAnsiTheme="majorHAnsi" w:cs="Times New Roman"/>
                <w:b/>
              </w:rPr>
              <w:t>.</w:t>
            </w:r>
          </w:p>
        </w:tc>
      </w:tr>
      <w:tr w:rsidR="00EB410D" w:rsidRPr="00717592" w:rsidTr="00EB410D">
        <w:trPr>
          <w:trHeight w:val="332"/>
          <w:jc w:val="center"/>
        </w:trPr>
        <w:tc>
          <w:tcPr>
            <w:tcW w:w="368" w:type="pct"/>
          </w:tcPr>
          <w:p w:rsidR="00EB410D" w:rsidRPr="00717592" w:rsidRDefault="00EB410D" w:rsidP="00A768D2">
            <w:pPr>
              <w:numPr>
                <w:ilvl w:val="0"/>
                <w:numId w:val="1"/>
              </w:numPr>
              <w:spacing w:after="0" w:line="240" w:lineRule="auto"/>
              <w:jc w:val="center"/>
              <w:rPr>
                <w:rFonts w:asciiTheme="majorHAnsi" w:hAnsiTheme="majorHAnsi" w:cs="Times New Roman"/>
              </w:rPr>
            </w:pPr>
          </w:p>
        </w:tc>
        <w:tc>
          <w:tcPr>
            <w:tcW w:w="1504" w:type="pct"/>
          </w:tcPr>
          <w:p w:rsidR="00EB410D" w:rsidRPr="00717592" w:rsidRDefault="00EB410D" w:rsidP="00357860">
            <w:pPr>
              <w:rPr>
                <w:rFonts w:asciiTheme="majorHAnsi" w:hAnsiTheme="majorHAnsi"/>
              </w:rPr>
            </w:pPr>
            <w:r w:rsidRPr="00717592">
              <w:rPr>
                <w:rFonts w:asciiTheme="majorHAnsi" w:hAnsiTheme="majorHAnsi"/>
              </w:rPr>
              <w:t>Hiring: Creation of a “Toolkit”</w:t>
            </w:r>
          </w:p>
        </w:tc>
        <w:tc>
          <w:tcPr>
            <w:tcW w:w="3128" w:type="pct"/>
          </w:tcPr>
          <w:p w:rsidR="00EB410D" w:rsidRDefault="00260311" w:rsidP="00260311">
            <w:pPr>
              <w:pStyle w:val="ListParagraph"/>
              <w:numPr>
                <w:ilvl w:val="0"/>
                <w:numId w:val="12"/>
              </w:numPr>
              <w:rPr>
                <w:rFonts w:asciiTheme="majorHAnsi" w:hAnsiTheme="majorHAnsi" w:cs="Times New Roman"/>
              </w:rPr>
            </w:pPr>
            <w:r>
              <w:rPr>
                <w:rFonts w:asciiTheme="majorHAnsi" w:hAnsiTheme="majorHAnsi" w:cs="Times New Roman"/>
              </w:rPr>
              <w:t xml:space="preserve">A’kilah presented resources for recruitment for the committee’s consideration. </w:t>
            </w:r>
          </w:p>
          <w:p w:rsidR="00260311" w:rsidRDefault="00260311" w:rsidP="00260311">
            <w:pPr>
              <w:pStyle w:val="ListParagraph"/>
              <w:numPr>
                <w:ilvl w:val="0"/>
                <w:numId w:val="12"/>
              </w:numPr>
              <w:rPr>
                <w:rFonts w:asciiTheme="majorHAnsi" w:hAnsiTheme="majorHAnsi" w:cs="Times New Roman"/>
              </w:rPr>
            </w:pPr>
            <w:r>
              <w:rPr>
                <w:rFonts w:asciiTheme="majorHAnsi" w:hAnsiTheme="majorHAnsi" w:cs="Times New Roman"/>
              </w:rPr>
              <w:t>Additionally, documents provided by Erich Holtmann that could be used by screening and interview committees were shown.</w:t>
            </w:r>
          </w:p>
          <w:p w:rsidR="00260311" w:rsidRDefault="00A9082E" w:rsidP="00260311">
            <w:pPr>
              <w:pStyle w:val="ListParagraph"/>
              <w:numPr>
                <w:ilvl w:val="0"/>
                <w:numId w:val="12"/>
              </w:numPr>
              <w:rPr>
                <w:rFonts w:asciiTheme="majorHAnsi" w:hAnsiTheme="majorHAnsi" w:cs="Times New Roman"/>
              </w:rPr>
            </w:pPr>
            <w:r>
              <w:rPr>
                <w:rFonts w:asciiTheme="majorHAnsi" w:hAnsiTheme="majorHAnsi" w:cs="Times New Roman"/>
              </w:rPr>
              <w:t>There was discussion about a potential website that housed a “packet” that could be used in the hiring process.</w:t>
            </w:r>
          </w:p>
          <w:p w:rsidR="00A9082E" w:rsidRDefault="00A9082E" w:rsidP="00260311">
            <w:pPr>
              <w:pStyle w:val="ListParagraph"/>
              <w:numPr>
                <w:ilvl w:val="0"/>
                <w:numId w:val="12"/>
              </w:numPr>
              <w:rPr>
                <w:rFonts w:asciiTheme="majorHAnsi" w:hAnsiTheme="majorHAnsi" w:cs="Times New Roman"/>
              </w:rPr>
            </w:pPr>
            <w:r>
              <w:rPr>
                <w:rFonts w:asciiTheme="majorHAnsi" w:hAnsiTheme="majorHAnsi" w:cs="Times New Roman"/>
              </w:rPr>
              <w:t>There was discussion about how much of this is handled at District and what we can provide and handle here at LMC locally.</w:t>
            </w:r>
          </w:p>
          <w:p w:rsidR="00A9082E" w:rsidRDefault="00A9082E" w:rsidP="00260311">
            <w:pPr>
              <w:pStyle w:val="ListParagraph"/>
              <w:numPr>
                <w:ilvl w:val="0"/>
                <w:numId w:val="12"/>
              </w:numPr>
              <w:rPr>
                <w:rFonts w:asciiTheme="majorHAnsi" w:hAnsiTheme="majorHAnsi" w:cs="Times New Roman"/>
              </w:rPr>
            </w:pPr>
            <w:r>
              <w:rPr>
                <w:rFonts w:asciiTheme="majorHAnsi" w:hAnsiTheme="majorHAnsi" w:cs="Times New Roman"/>
              </w:rPr>
              <w:t>It was suggested that there be a mandatory training for anyone on a hiring committee that included this toolbox and its use.</w:t>
            </w:r>
          </w:p>
          <w:p w:rsidR="00A9082E" w:rsidRDefault="00A9082E" w:rsidP="00260311">
            <w:pPr>
              <w:pStyle w:val="ListParagraph"/>
              <w:numPr>
                <w:ilvl w:val="0"/>
                <w:numId w:val="12"/>
              </w:numPr>
              <w:rPr>
                <w:rFonts w:asciiTheme="majorHAnsi" w:hAnsiTheme="majorHAnsi" w:cs="Times New Roman"/>
              </w:rPr>
            </w:pPr>
            <w:r>
              <w:rPr>
                <w:rFonts w:asciiTheme="majorHAnsi" w:hAnsiTheme="majorHAnsi" w:cs="Times New Roman"/>
              </w:rPr>
              <w:t>While the District does have a list of standard places that job announcements are sent, there should be area specific suggestions as well. These could be posted on the Office of Instruction website.</w:t>
            </w:r>
          </w:p>
          <w:p w:rsidR="00A9082E" w:rsidRDefault="00A9082E" w:rsidP="00260311">
            <w:pPr>
              <w:pStyle w:val="ListParagraph"/>
              <w:numPr>
                <w:ilvl w:val="0"/>
                <w:numId w:val="12"/>
              </w:numPr>
              <w:rPr>
                <w:rFonts w:asciiTheme="majorHAnsi" w:hAnsiTheme="majorHAnsi" w:cs="Times New Roman"/>
              </w:rPr>
            </w:pPr>
            <w:r>
              <w:rPr>
                <w:rFonts w:asciiTheme="majorHAnsi" w:hAnsiTheme="majorHAnsi" w:cs="Times New Roman"/>
              </w:rPr>
              <w:t>This should be discussed by the Instructional Deans as they meet, and it should go to the President’s Council so it influenced and helps managers in the hiring process.</w:t>
            </w:r>
          </w:p>
          <w:p w:rsidR="00A9082E" w:rsidRPr="00A9082E" w:rsidRDefault="00A9082E" w:rsidP="00260311">
            <w:pPr>
              <w:pStyle w:val="ListParagraph"/>
              <w:numPr>
                <w:ilvl w:val="0"/>
                <w:numId w:val="12"/>
              </w:numPr>
              <w:rPr>
                <w:rFonts w:asciiTheme="majorHAnsi" w:hAnsiTheme="majorHAnsi" w:cs="Times New Roman"/>
                <w:b/>
              </w:rPr>
            </w:pPr>
            <w:r w:rsidRPr="00A9082E">
              <w:rPr>
                <w:rFonts w:asciiTheme="majorHAnsi" w:hAnsiTheme="majorHAnsi" w:cs="Times New Roman"/>
                <w:b/>
              </w:rPr>
              <w:t>A subcommittee led by A’kilah Moore and Dave Belman wi</w:t>
            </w:r>
            <w:r w:rsidR="003A3D13">
              <w:rPr>
                <w:rFonts w:asciiTheme="majorHAnsi" w:hAnsiTheme="majorHAnsi" w:cs="Times New Roman"/>
                <w:b/>
              </w:rPr>
              <w:t xml:space="preserve">ll come together to address the </w:t>
            </w:r>
            <w:r w:rsidR="00C953B4">
              <w:rPr>
                <w:rFonts w:asciiTheme="majorHAnsi" w:hAnsiTheme="majorHAnsi" w:cs="Times New Roman"/>
                <w:b/>
              </w:rPr>
              <w:t xml:space="preserve">hiring </w:t>
            </w:r>
            <w:proofErr w:type="gramStart"/>
            <w:r w:rsidR="00C953B4">
              <w:rPr>
                <w:rFonts w:asciiTheme="majorHAnsi" w:hAnsiTheme="majorHAnsi" w:cs="Times New Roman"/>
                <w:b/>
              </w:rPr>
              <w:t>toolkit</w:t>
            </w:r>
            <w:bookmarkStart w:id="0" w:name="_GoBack"/>
            <w:bookmarkEnd w:id="0"/>
            <w:r w:rsidR="003A3D13">
              <w:rPr>
                <w:rFonts w:asciiTheme="majorHAnsi" w:hAnsiTheme="majorHAnsi" w:cs="Times New Roman"/>
                <w:b/>
              </w:rPr>
              <w:t xml:space="preserve"> </w:t>
            </w:r>
            <w:r w:rsidRPr="00A9082E">
              <w:rPr>
                <w:rFonts w:asciiTheme="majorHAnsi" w:hAnsiTheme="majorHAnsi" w:cs="Times New Roman"/>
                <w:b/>
              </w:rPr>
              <w:t xml:space="preserve"> and</w:t>
            </w:r>
            <w:proofErr w:type="gramEnd"/>
            <w:r w:rsidRPr="00A9082E">
              <w:rPr>
                <w:rFonts w:asciiTheme="majorHAnsi" w:hAnsiTheme="majorHAnsi" w:cs="Times New Roman"/>
                <w:b/>
              </w:rPr>
              <w:t xml:space="preserve"> the next steps.</w:t>
            </w:r>
          </w:p>
        </w:tc>
      </w:tr>
      <w:tr w:rsidR="00EB410D" w:rsidRPr="00717592" w:rsidTr="00EB410D">
        <w:trPr>
          <w:trHeight w:val="332"/>
          <w:jc w:val="center"/>
        </w:trPr>
        <w:tc>
          <w:tcPr>
            <w:tcW w:w="368" w:type="pct"/>
          </w:tcPr>
          <w:p w:rsidR="00EB410D" w:rsidRPr="00717592" w:rsidRDefault="00EB410D" w:rsidP="00A768D2">
            <w:pPr>
              <w:numPr>
                <w:ilvl w:val="0"/>
                <w:numId w:val="1"/>
              </w:numPr>
              <w:spacing w:after="0" w:line="240" w:lineRule="auto"/>
              <w:jc w:val="center"/>
              <w:rPr>
                <w:rFonts w:asciiTheme="majorHAnsi" w:hAnsiTheme="majorHAnsi" w:cs="Times New Roman"/>
              </w:rPr>
            </w:pPr>
          </w:p>
        </w:tc>
        <w:tc>
          <w:tcPr>
            <w:tcW w:w="1504" w:type="pct"/>
          </w:tcPr>
          <w:p w:rsidR="00EB410D" w:rsidRPr="00717592" w:rsidRDefault="00EB410D" w:rsidP="00333140">
            <w:pPr>
              <w:pStyle w:val="ColorfulList-Accent11"/>
              <w:ind w:left="0"/>
              <w:rPr>
                <w:rFonts w:asciiTheme="majorHAnsi" w:hAnsiTheme="majorHAnsi"/>
              </w:rPr>
            </w:pPr>
            <w:r w:rsidRPr="00717592">
              <w:rPr>
                <w:rFonts w:asciiTheme="majorHAnsi" w:hAnsiTheme="majorHAnsi"/>
              </w:rPr>
              <w:t>Accreditation Standard IIIA Human Resources</w:t>
            </w:r>
          </w:p>
        </w:tc>
        <w:tc>
          <w:tcPr>
            <w:tcW w:w="3128" w:type="pct"/>
          </w:tcPr>
          <w:p w:rsidR="00EB410D" w:rsidRDefault="006B3D6F" w:rsidP="00A9082E">
            <w:pPr>
              <w:pStyle w:val="ListParagraph"/>
              <w:numPr>
                <w:ilvl w:val="0"/>
                <w:numId w:val="13"/>
              </w:numPr>
              <w:rPr>
                <w:rFonts w:asciiTheme="majorHAnsi" w:hAnsiTheme="majorHAnsi" w:cs="Times New Roman"/>
              </w:rPr>
            </w:pPr>
            <w:r>
              <w:rPr>
                <w:rFonts w:asciiTheme="majorHAnsi" w:hAnsiTheme="majorHAnsi" w:cs="Times New Roman"/>
              </w:rPr>
              <w:t>The standard was reviewed by the committee.</w:t>
            </w:r>
          </w:p>
          <w:p w:rsidR="006B3D6F" w:rsidRDefault="006B3D6F" w:rsidP="00A9082E">
            <w:pPr>
              <w:pStyle w:val="ListParagraph"/>
              <w:numPr>
                <w:ilvl w:val="0"/>
                <w:numId w:val="13"/>
              </w:numPr>
              <w:rPr>
                <w:rFonts w:asciiTheme="majorHAnsi" w:hAnsiTheme="majorHAnsi" w:cs="Times New Roman"/>
              </w:rPr>
            </w:pPr>
            <w:r>
              <w:rPr>
                <w:rFonts w:asciiTheme="majorHAnsi" w:hAnsiTheme="majorHAnsi" w:cs="Times New Roman"/>
              </w:rPr>
              <w:t xml:space="preserve">Diversity was brought up as </w:t>
            </w:r>
            <w:proofErr w:type="gramStart"/>
            <w:r>
              <w:rPr>
                <w:rFonts w:asciiTheme="majorHAnsi" w:hAnsiTheme="majorHAnsi" w:cs="Times New Roman"/>
              </w:rPr>
              <w:t>a strength</w:t>
            </w:r>
            <w:proofErr w:type="gramEnd"/>
            <w:r>
              <w:rPr>
                <w:rFonts w:asciiTheme="majorHAnsi" w:hAnsiTheme="majorHAnsi" w:cs="Times New Roman"/>
              </w:rPr>
              <w:t xml:space="preserve"> at the college assembly and this was questioned.</w:t>
            </w:r>
          </w:p>
          <w:p w:rsidR="006B3D6F" w:rsidRDefault="006B3D6F" w:rsidP="00A9082E">
            <w:pPr>
              <w:pStyle w:val="ListParagraph"/>
              <w:numPr>
                <w:ilvl w:val="0"/>
                <w:numId w:val="13"/>
              </w:numPr>
              <w:rPr>
                <w:rFonts w:asciiTheme="majorHAnsi" w:hAnsiTheme="majorHAnsi" w:cs="Times New Roman"/>
              </w:rPr>
            </w:pPr>
            <w:r>
              <w:rPr>
                <w:rFonts w:asciiTheme="majorHAnsi" w:hAnsiTheme="majorHAnsi" w:cs="Times New Roman"/>
              </w:rPr>
              <w:t>The validity of claims such as “Our applicant pool is diverse” and “hiring committees are well trained” was questioned.</w:t>
            </w:r>
          </w:p>
          <w:p w:rsidR="006B3D6F" w:rsidRDefault="006B3D6F" w:rsidP="00A9082E">
            <w:pPr>
              <w:pStyle w:val="ListParagraph"/>
              <w:numPr>
                <w:ilvl w:val="0"/>
                <w:numId w:val="13"/>
              </w:numPr>
              <w:rPr>
                <w:rFonts w:asciiTheme="majorHAnsi" w:hAnsiTheme="majorHAnsi" w:cs="Times New Roman"/>
              </w:rPr>
            </w:pPr>
            <w:r>
              <w:rPr>
                <w:rFonts w:asciiTheme="majorHAnsi" w:hAnsiTheme="majorHAnsi" w:cs="Times New Roman"/>
              </w:rPr>
              <w:t>The self-evaluation process was questioned in general here as it seemed the writers of many of the standards are not fully informed about the practices and policies they are reporting on.</w:t>
            </w:r>
          </w:p>
          <w:p w:rsidR="003A3D13" w:rsidRDefault="003A3D13" w:rsidP="00A9082E">
            <w:pPr>
              <w:pStyle w:val="ListParagraph"/>
              <w:numPr>
                <w:ilvl w:val="0"/>
                <w:numId w:val="13"/>
              </w:numPr>
              <w:rPr>
                <w:rFonts w:asciiTheme="majorHAnsi" w:hAnsiTheme="majorHAnsi" w:cs="Times New Roman"/>
              </w:rPr>
            </w:pPr>
            <w:r>
              <w:rPr>
                <w:rFonts w:asciiTheme="majorHAnsi" w:hAnsiTheme="majorHAnsi" w:cs="Times New Roman"/>
              </w:rPr>
              <w:t>It was felt that this section of the Accreditation report should address the issues that need to be improved and plan for improving them.</w:t>
            </w:r>
          </w:p>
          <w:p w:rsidR="003A3D13" w:rsidRDefault="003A3D13" w:rsidP="00A9082E">
            <w:pPr>
              <w:pStyle w:val="ListParagraph"/>
              <w:numPr>
                <w:ilvl w:val="0"/>
                <w:numId w:val="13"/>
              </w:numPr>
              <w:rPr>
                <w:rFonts w:asciiTheme="majorHAnsi" w:hAnsiTheme="majorHAnsi" w:cs="Times New Roman"/>
              </w:rPr>
            </w:pPr>
            <w:r>
              <w:rPr>
                <w:rFonts w:asciiTheme="majorHAnsi" w:hAnsiTheme="majorHAnsi" w:cs="Times New Roman"/>
              </w:rPr>
              <w:t>There was concern that one reason for this type of oversight is the lack of an active EEO committee. IDEA is not the EEO, but is saddled with EEO topics often.</w:t>
            </w:r>
          </w:p>
          <w:p w:rsidR="006B3D6F" w:rsidRDefault="003A3D13" w:rsidP="00A9082E">
            <w:pPr>
              <w:pStyle w:val="ListParagraph"/>
              <w:numPr>
                <w:ilvl w:val="0"/>
                <w:numId w:val="13"/>
              </w:numPr>
              <w:rPr>
                <w:rFonts w:asciiTheme="majorHAnsi" w:hAnsiTheme="majorHAnsi" w:cs="Times New Roman"/>
              </w:rPr>
            </w:pPr>
            <w:r>
              <w:rPr>
                <w:rFonts w:asciiTheme="majorHAnsi" w:hAnsiTheme="majorHAnsi" w:cs="Times New Roman"/>
              </w:rPr>
              <w:t xml:space="preserve">It was decided that Kevin (as our assumed EEO officer) and subsequently possible Ronke should be asked again about the status of this committee. </w:t>
            </w:r>
          </w:p>
          <w:p w:rsidR="003A3D13" w:rsidRDefault="003A3D13" w:rsidP="00A9082E">
            <w:pPr>
              <w:pStyle w:val="ListParagraph"/>
              <w:numPr>
                <w:ilvl w:val="0"/>
                <w:numId w:val="13"/>
              </w:numPr>
              <w:rPr>
                <w:rFonts w:asciiTheme="majorHAnsi" w:hAnsiTheme="majorHAnsi" w:cs="Times New Roman"/>
                <w:b/>
              </w:rPr>
            </w:pPr>
            <w:r w:rsidRPr="003A3D13">
              <w:rPr>
                <w:rFonts w:asciiTheme="majorHAnsi" w:hAnsiTheme="majorHAnsi" w:cs="Times New Roman"/>
                <w:b/>
              </w:rPr>
              <w:t>Ryan agreed to send A’kilah the documents showing where the EEO committee stopped so that she can bring this question forward.</w:t>
            </w:r>
          </w:p>
          <w:p w:rsidR="003A3D13" w:rsidRPr="003A3D13" w:rsidRDefault="003A3D13" w:rsidP="00A9082E">
            <w:pPr>
              <w:pStyle w:val="ListParagraph"/>
              <w:numPr>
                <w:ilvl w:val="0"/>
                <w:numId w:val="13"/>
              </w:numPr>
              <w:rPr>
                <w:rFonts w:asciiTheme="majorHAnsi" w:hAnsiTheme="majorHAnsi" w:cs="Times New Roman"/>
                <w:b/>
              </w:rPr>
            </w:pPr>
            <w:r w:rsidRPr="003A3D13">
              <w:rPr>
                <w:rFonts w:asciiTheme="majorHAnsi" w:hAnsiTheme="majorHAnsi" w:cs="Times New Roman"/>
                <w:b/>
              </w:rPr>
              <w:t xml:space="preserve">The Committee members agreed to send constructive feedback on Standard IIIA to </w:t>
            </w:r>
            <w:r w:rsidRPr="003A3D13">
              <w:rPr>
                <w:rFonts w:asciiTheme="majorHAnsi" w:hAnsiTheme="majorHAnsi" w:cs="Times New Roman"/>
                <w:b/>
              </w:rPr>
              <w:lastRenderedPageBreak/>
              <w:t>Erlinda who will compile the comments and forward them to Kiran and the standard co-chairs.</w:t>
            </w:r>
          </w:p>
        </w:tc>
      </w:tr>
      <w:tr w:rsidR="00EB410D" w:rsidRPr="00717592" w:rsidTr="00EB410D">
        <w:trPr>
          <w:trHeight w:val="332"/>
          <w:jc w:val="center"/>
        </w:trPr>
        <w:tc>
          <w:tcPr>
            <w:tcW w:w="368" w:type="pct"/>
          </w:tcPr>
          <w:p w:rsidR="00EB410D" w:rsidRPr="00717592" w:rsidRDefault="00EB410D" w:rsidP="00A768D2">
            <w:pPr>
              <w:numPr>
                <w:ilvl w:val="0"/>
                <w:numId w:val="1"/>
              </w:numPr>
              <w:spacing w:after="0" w:line="240" w:lineRule="auto"/>
              <w:jc w:val="center"/>
              <w:rPr>
                <w:rFonts w:asciiTheme="majorHAnsi" w:hAnsiTheme="majorHAnsi" w:cs="Times New Roman"/>
              </w:rPr>
            </w:pPr>
          </w:p>
        </w:tc>
        <w:tc>
          <w:tcPr>
            <w:tcW w:w="1504" w:type="pct"/>
          </w:tcPr>
          <w:p w:rsidR="00EB410D" w:rsidRPr="00717592" w:rsidRDefault="00EB410D" w:rsidP="00D14F82">
            <w:pPr>
              <w:pStyle w:val="ColorfulList-Accent11"/>
              <w:ind w:left="0"/>
              <w:rPr>
                <w:rFonts w:asciiTheme="majorHAnsi" w:hAnsiTheme="majorHAnsi"/>
              </w:rPr>
            </w:pPr>
            <w:r w:rsidRPr="00717592">
              <w:rPr>
                <w:rFonts w:asciiTheme="majorHAnsi" w:hAnsiTheme="majorHAnsi"/>
              </w:rPr>
              <w:t xml:space="preserve">Student Equity Plan </w:t>
            </w:r>
          </w:p>
        </w:tc>
        <w:tc>
          <w:tcPr>
            <w:tcW w:w="3128" w:type="pct"/>
          </w:tcPr>
          <w:p w:rsidR="00EB410D" w:rsidRPr="003A3D13" w:rsidRDefault="003A3D13" w:rsidP="003A3D13">
            <w:pPr>
              <w:pStyle w:val="ListParagraph"/>
              <w:numPr>
                <w:ilvl w:val="0"/>
                <w:numId w:val="14"/>
              </w:numPr>
              <w:rPr>
                <w:rFonts w:asciiTheme="majorHAnsi" w:hAnsiTheme="majorHAnsi" w:cs="Times New Roman"/>
              </w:rPr>
            </w:pPr>
            <w:r>
              <w:rPr>
                <w:rFonts w:asciiTheme="majorHAnsi" w:hAnsiTheme="majorHAnsi" w:cs="Times New Roman"/>
              </w:rPr>
              <w:t>This item was tabled, but will be on the top of the next agenda.</w:t>
            </w:r>
          </w:p>
        </w:tc>
      </w:tr>
      <w:tr w:rsidR="00EB410D" w:rsidRPr="00717592" w:rsidTr="00EB410D">
        <w:trPr>
          <w:trHeight w:val="332"/>
          <w:jc w:val="center"/>
        </w:trPr>
        <w:tc>
          <w:tcPr>
            <w:tcW w:w="368" w:type="pct"/>
          </w:tcPr>
          <w:p w:rsidR="00EB410D" w:rsidRPr="00717592" w:rsidRDefault="00EB410D" w:rsidP="00A768D2">
            <w:pPr>
              <w:numPr>
                <w:ilvl w:val="0"/>
                <w:numId w:val="1"/>
              </w:numPr>
              <w:spacing w:after="0" w:line="240" w:lineRule="auto"/>
              <w:jc w:val="center"/>
              <w:rPr>
                <w:rFonts w:asciiTheme="majorHAnsi" w:hAnsiTheme="majorHAnsi" w:cs="Times New Roman"/>
              </w:rPr>
            </w:pPr>
          </w:p>
        </w:tc>
        <w:tc>
          <w:tcPr>
            <w:tcW w:w="1504" w:type="pct"/>
          </w:tcPr>
          <w:p w:rsidR="00EB410D" w:rsidRPr="00717592" w:rsidRDefault="00EB410D" w:rsidP="00536107">
            <w:pPr>
              <w:rPr>
                <w:rFonts w:asciiTheme="majorHAnsi" w:hAnsiTheme="majorHAnsi" w:cs="Times New Roman"/>
              </w:rPr>
            </w:pPr>
            <w:r w:rsidRPr="00717592">
              <w:rPr>
                <w:rFonts w:asciiTheme="majorHAnsi" w:hAnsiTheme="majorHAnsi" w:cs="Times New Roman"/>
              </w:rPr>
              <w:t>Updates: Religious Holidays and Classroom Accommodations</w:t>
            </w:r>
          </w:p>
          <w:p w:rsidR="00EB410D" w:rsidRPr="00717592" w:rsidRDefault="00EB410D" w:rsidP="00D14F82">
            <w:pPr>
              <w:pStyle w:val="ColorfulList-Accent11"/>
              <w:ind w:left="0"/>
              <w:rPr>
                <w:rFonts w:asciiTheme="majorHAnsi" w:hAnsiTheme="majorHAnsi"/>
              </w:rPr>
            </w:pPr>
            <w:r w:rsidRPr="00717592">
              <w:rPr>
                <w:rFonts w:asciiTheme="majorHAnsi" w:hAnsiTheme="majorHAnsi"/>
              </w:rPr>
              <w:t>EEO Plan</w:t>
            </w:r>
          </w:p>
        </w:tc>
        <w:tc>
          <w:tcPr>
            <w:tcW w:w="3128" w:type="pct"/>
          </w:tcPr>
          <w:p w:rsidR="00EB410D" w:rsidRPr="003A3D13" w:rsidRDefault="003A3D13" w:rsidP="003A3D13">
            <w:pPr>
              <w:pStyle w:val="ListParagraph"/>
              <w:numPr>
                <w:ilvl w:val="0"/>
                <w:numId w:val="14"/>
              </w:numPr>
              <w:rPr>
                <w:rFonts w:asciiTheme="majorHAnsi" w:hAnsiTheme="majorHAnsi" w:cs="Times New Roman"/>
                <w:b/>
              </w:rPr>
            </w:pPr>
            <w:r w:rsidRPr="003A3D13">
              <w:rPr>
                <w:rFonts w:asciiTheme="majorHAnsi" w:hAnsiTheme="majorHAnsi" w:cs="Times New Roman"/>
                <w:b/>
              </w:rPr>
              <w:t>Ryan agreed to send the</w:t>
            </w:r>
            <w:r>
              <w:rPr>
                <w:rFonts w:asciiTheme="majorHAnsi" w:hAnsiTheme="majorHAnsi" w:cs="Times New Roman"/>
                <w:b/>
              </w:rPr>
              <w:t xml:space="preserve"> Religious Holidays and Classroom Accommodations</w:t>
            </w:r>
            <w:r w:rsidRPr="003A3D13">
              <w:rPr>
                <w:rFonts w:asciiTheme="majorHAnsi" w:hAnsiTheme="majorHAnsi" w:cs="Times New Roman"/>
                <w:b/>
              </w:rPr>
              <w:t xml:space="preserve"> statement drafted by Dave Belman to the committee for feedback and approval. Upon approval, he will deliver the document to our CIO Kevin Horan to determine the next steps (UF, Academic Senate, suggested syllabus template etc.).</w:t>
            </w:r>
          </w:p>
        </w:tc>
      </w:tr>
      <w:tr w:rsidR="00EB410D" w:rsidRPr="00717592" w:rsidTr="00EB410D">
        <w:trPr>
          <w:trHeight w:val="332"/>
          <w:jc w:val="center"/>
        </w:trPr>
        <w:tc>
          <w:tcPr>
            <w:tcW w:w="368" w:type="pct"/>
          </w:tcPr>
          <w:p w:rsidR="00EB410D" w:rsidRPr="00717592" w:rsidRDefault="00EB410D" w:rsidP="003B7C48">
            <w:pPr>
              <w:numPr>
                <w:ilvl w:val="0"/>
                <w:numId w:val="1"/>
              </w:numPr>
              <w:spacing w:after="0" w:line="240" w:lineRule="auto"/>
              <w:jc w:val="center"/>
              <w:rPr>
                <w:rFonts w:asciiTheme="majorHAnsi" w:hAnsiTheme="majorHAnsi" w:cs="Times New Roman"/>
              </w:rPr>
            </w:pPr>
          </w:p>
        </w:tc>
        <w:tc>
          <w:tcPr>
            <w:tcW w:w="1504" w:type="pct"/>
          </w:tcPr>
          <w:p w:rsidR="00EB410D" w:rsidRPr="00717592" w:rsidRDefault="00EB410D" w:rsidP="00536107">
            <w:pPr>
              <w:rPr>
                <w:rFonts w:asciiTheme="majorHAnsi" w:hAnsiTheme="majorHAnsi" w:cs="Times New Roman"/>
              </w:rPr>
            </w:pPr>
            <w:r w:rsidRPr="00717592">
              <w:rPr>
                <w:rFonts w:asciiTheme="majorHAnsi" w:hAnsiTheme="majorHAnsi"/>
              </w:rPr>
              <w:t>Next Steps</w:t>
            </w:r>
          </w:p>
        </w:tc>
        <w:tc>
          <w:tcPr>
            <w:tcW w:w="3128" w:type="pct"/>
          </w:tcPr>
          <w:p w:rsidR="00EB410D" w:rsidRPr="003A3D13" w:rsidRDefault="003A3D13" w:rsidP="003A3D13">
            <w:pPr>
              <w:pStyle w:val="ListParagraph"/>
              <w:numPr>
                <w:ilvl w:val="0"/>
                <w:numId w:val="14"/>
              </w:numPr>
              <w:rPr>
                <w:rFonts w:asciiTheme="majorHAnsi" w:hAnsiTheme="majorHAnsi" w:cs="Times New Roman"/>
              </w:rPr>
            </w:pPr>
            <w:r>
              <w:rPr>
                <w:rFonts w:asciiTheme="majorHAnsi" w:hAnsiTheme="majorHAnsi" w:cs="Times New Roman"/>
              </w:rPr>
              <w:t>See bold statements above</w:t>
            </w:r>
          </w:p>
        </w:tc>
      </w:tr>
      <w:tr w:rsidR="00EB410D" w:rsidRPr="00717592" w:rsidTr="00EB410D">
        <w:trPr>
          <w:trHeight w:val="332"/>
          <w:jc w:val="center"/>
        </w:trPr>
        <w:tc>
          <w:tcPr>
            <w:tcW w:w="368" w:type="pct"/>
          </w:tcPr>
          <w:p w:rsidR="00EB410D" w:rsidRPr="00717592" w:rsidRDefault="00EB410D" w:rsidP="003B7C48">
            <w:pPr>
              <w:numPr>
                <w:ilvl w:val="0"/>
                <w:numId w:val="1"/>
              </w:numPr>
              <w:spacing w:after="0" w:line="240" w:lineRule="auto"/>
              <w:jc w:val="center"/>
              <w:rPr>
                <w:rFonts w:asciiTheme="majorHAnsi" w:hAnsiTheme="majorHAnsi" w:cs="Times New Roman"/>
              </w:rPr>
            </w:pPr>
          </w:p>
        </w:tc>
        <w:tc>
          <w:tcPr>
            <w:tcW w:w="1504" w:type="pct"/>
          </w:tcPr>
          <w:p w:rsidR="00EB410D" w:rsidRPr="00717592" w:rsidRDefault="00EB410D" w:rsidP="00536107">
            <w:pPr>
              <w:rPr>
                <w:rFonts w:asciiTheme="majorHAnsi" w:hAnsiTheme="majorHAnsi" w:cs="Times New Roman"/>
              </w:rPr>
            </w:pPr>
            <w:r w:rsidRPr="00717592">
              <w:rPr>
                <w:rFonts w:asciiTheme="majorHAnsi" w:hAnsiTheme="majorHAnsi" w:cs="Times New Roman"/>
              </w:rPr>
              <w:t>New Agenda Items: Any new subjects that IDEA needs to address</w:t>
            </w:r>
          </w:p>
        </w:tc>
        <w:tc>
          <w:tcPr>
            <w:tcW w:w="3128" w:type="pct"/>
          </w:tcPr>
          <w:p w:rsidR="00EB410D" w:rsidRPr="003A3D13" w:rsidRDefault="003A3D13" w:rsidP="003A3D13">
            <w:pPr>
              <w:pStyle w:val="ListParagraph"/>
              <w:numPr>
                <w:ilvl w:val="0"/>
                <w:numId w:val="14"/>
              </w:numPr>
              <w:rPr>
                <w:rFonts w:asciiTheme="majorHAnsi" w:hAnsiTheme="majorHAnsi" w:cs="Times New Roman"/>
              </w:rPr>
            </w:pPr>
            <w:r>
              <w:rPr>
                <w:rFonts w:asciiTheme="majorHAnsi" w:hAnsiTheme="majorHAnsi" w:cs="Times New Roman"/>
              </w:rPr>
              <w:t>It was agreed that we would put the Student Equity Plan as our TOP PRIORITY for the next meeting.</w:t>
            </w:r>
          </w:p>
        </w:tc>
      </w:tr>
    </w:tbl>
    <w:p w:rsidR="00BD37C7" w:rsidRPr="00717592" w:rsidRDefault="00BD37C7" w:rsidP="00E96DEE">
      <w:pPr>
        <w:ind w:firstLine="720"/>
        <w:rPr>
          <w:rFonts w:asciiTheme="majorHAnsi" w:hAnsiTheme="majorHAnsi" w:cs="Times New Roman"/>
        </w:rPr>
      </w:pPr>
    </w:p>
    <w:p w:rsidR="00E96DEE" w:rsidRPr="00717592" w:rsidRDefault="00E96DEE" w:rsidP="00E96DEE">
      <w:pPr>
        <w:ind w:firstLine="720"/>
        <w:rPr>
          <w:rFonts w:asciiTheme="majorHAnsi" w:hAnsiTheme="majorHAnsi" w:cs="Times New Roman"/>
        </w:rPr>
      </w:pPr>
      <w:r w:rsidRPr="00717592">
        <w:rPr>
          <w:rFonts w:asciiTheme="majorHAnsi" w:hAnsiTheme="majorHAnsi" w:cs="Times New Roman"/>
        </w:rPr>
        <w:t>Note-taker:</w:t>
      </w:r>
      <w:r w:rsidR="00EB410D">
        <w:rPr>
          <w:rFonts w:asciiTheme="majorHAnsi" w:hAnsiTheme="majorHAnsi" w:cs="Times New Roman"/>
        </w:rPr>
        <w:t xml:space="preserve"> </w:t>
      </w:r>
      <w:r w:rsidR="00EB410D" w:rsidRPr="00EB410D">
        <w:rPr>
          <w:rFonts w:asciiTheme="majorHAnsi" w:hAnsiTheme="majorHAnsi" w:cs="Times New Roman"/>
          <w:u w:val="single"/>
        </w:rPr>
        <w:t xml:space="preserve">Paula </w:t>
      </w:r>
      <w:proofErr w:type="spellStart"/>
      <w:r w:rsidR="00EB410D" w:rsidRPr="00EB410D">
        <w:rPr>
          <w:rFonts w:asciiTheme="majorHAnsi" w:hAnsiTheme="majorHAnsi" w:cs="Times New Roman"/>
          <w:u w:val="single"/>
        </w:rPr>
        <w:t>Gunder</w:t>
      </w:r>
      <w:proofErr w:type="spellEnd"/>
      <w:r w:rsidR="00EB410D" w:rsidRPr="00EB410D">
        <w:rPr>
          <w:rFonts w:asciiTheme="majorHAnsi" w:hAnsiTheme="majorHAnsi" w:cs="Times New Roman"/>
          <w:u w:val="single"/>
        </w:rPr>
        <w:t xml:space="preserve"> (Thank Your Paula!)</w:t>
      </w:r>
    </w:p>
    <w:sectPr w:rsidR="00E96DEE" w:rsidRPr="00717592" w:rsidSect="00E96DEE">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6F" w:rsidRDefault="006B3D6F" w:rsidP="00E96DEE">
      <w:pPr>
        <w:spacing w:after="0" w:line="240" w:lineRule="auto"/>
      </w:pPr>
      <w:r>
        <w:separator/>
      </w:r>
    </w:p>
  </w:endnote>
  <w:endnote w:type="continuationSeparator" w:id="0">
    <w:p w:rsidR="006B3D6F" w:rsidRDefault="006B3D6F" w:rsidP="00E9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6F" w:rsidRDefault="006B3D6F" w:rsidP="00E96DEE">
      <w:pPr>
        <w:spacing w:after="0" w:line="240" w:lineRule="auto"/>
      </w:pPr>
      <w:r>
        <w:separator/>
      </w:r>
    </w:p>
  </w:footnote>
  <w:footnote w:type="continuationSeparator" w:id="0">
    <w:p w:rsidR="006B3D6F" w:rsidRDefault="006B3D6F" w:rsidP="00E96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132"/>
    <w:multiLevelType w:val="hybridMultilevel"/>
    <w:tmpl w:val="9B0A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42C1B"/>
    <w:multiLevelType w:val="hybridMultilevel"/>
    <w:tmpl w:val="95882B8C"/>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440"/>
        </w:tabs>
        <w:ind w:left="1440" w:hanging="360"/>
      </w:pPr>
      <w:rPr>
        <w:rFonts w:ascii="Wingdings" w:hAnsi="Wingdings" w:hint="default"/>
      </w:rPr>
    </w:lvl>
    <w:lvl w:ilvl="2" w:tplc="B1106074">
      <w:start w:val="1"/>
      <w:numFmt w:val="lowerLetter"/>
      <w:lvlText w:val="%3."/>
      <w:lvlJc w:val="left"/>
      <w:pPr>
        <w:tabs>
          <w:tab w:val="num" w:pos="2340"/>
        </w:tabs>
        <w:ind w:left="2340" w:hanging="360"/>
      </w:pPr>
      <w:rPr>
        <w:rFonts w:hint="default"/>
      </w:rPr>
    </w:lvl>
    <w:lvl w:ilvl="3" w:tplc="14821EBE">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943BA1"/>
    <w:multiLevelType w:val="hybridMultilevel"/>
    <w:tmpl w:val="85C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6983"/>
    <w:multiLevelType w:val="hybridMultilevel"/>
    <w:tmpl w:val="41CE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B5C74"/>
    <w:multiLevelType w:val="hybridMultilevel"/>
    <w:tmpl w:val="11E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80CA9"/>
    <w:multiLevelType w:val="hybridMultilevel"/>
    <w:tmpl w:val="CE82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86FEC"/>
    <w:multiLevelType w:val="hybridMultilevel"/>
    <w:tmpl w:val="EE52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A67E1"/>
    <w:multiLevelType w:val="hybridMultilevel"/>
    <w:tmpl w:val="BF74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82AF3"/>
    <w:multiLevelType w:val="hybridMultilevel"/>
    <w:tmpl w:val="C780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16150"/>
    <w:multiLevelType w:val="hybridMultilevel"/>
    <w:tmpl w:val="167A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12442"/>
    <w:multiLevelType w:val="hybridMultilevel"/>
    <w:tmpl w:val="3F42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42277E"/>
    <w:multiLevelType w:val="hybridMultilevel"/>
    <w:tmpl w:val="94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340F95"/>
    <w:multiLevelType w:val="hybridMultilevel"/>
    <w:tmpl w:val="301CEFB6"/>
    <w:lvl w:ilvl="0" w:tplc="C7AC8DBE">
      <w:start w:val="5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802173"/>
    <w:multiLevelType w:val="hybridMultilevel"/>
    <w:tmpl w:val="D33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9"/>
  </w:num>
  <w:num w:numId="4">
    <w:abstractNumId w:val="4"/>
  </w:num>
  <w:num w:numId="5">
    <w:abstractNumId w:val="2"/>
  </w:num>
  <w:num w:numId="6">
    <w:abstractNumId w:val="10"/>
  </w:num>
  <w:num w:numId="7">
    <w:abstractNumId w:val="7"/>
  </w:num>
  <w:num w:numId="8">
    <w:abstractNumId w:val="12"/>
  </w:num>
  <w:num w:numId="9">
    <w:abstractNumId w:val="8"/>
  </w:num>
  <w:num w:numId="10">
    <w:abstractNumId w:val="3"/>
  </w:num>
  <w:num w:numId="11">
    <w:abstractNumId w:val="6"/>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DA"/>
    <w:rsid w:val="0001109C"/>
    <w:rsid w:val="0002629E"/>
    <w:rsid w:val="000D52D4"/>
    <w:rsid w:val="000F22F9"/>
    <w:rsid w:val="00114717"/>
    <w:rsid w:val="00234103"/>
    <w:rsid w:val="00260311"/>
    <w:rsid w:val="002A4342"/>
    <w:rsid w:val="00333140"/>
    <w:rsid w:val="00355BD3"/>
    <w:rsid w:val="00357860"/>
    <w:rsid w:val="00375A4A"/>
    <w:rsid w:val="00387AFF"/>
    <w:rsid w:val="003A3D13"/>
    <w:rsid w:val="003B7C48"/>
    <w:rsid w:val="003F36B4"/>
    <w:rsid w:val="00414D82"/>
    <w:rsid w:val="004D69AA"/>
    <w:rsid w:val="00520F0A"/>
    <w:rsid w:val="00536107"/>
    <w:rsid w:val="00595EDA"/>
    <w:rsid w:val="00694A60"/>
    <w:rsid w:val="006B3D6F"/>
    <w:rsid w:val="006C0583"/>
    <w:rsid w:val="006E0232"/>
    <w:rsid w:val="00716560"/>
    <w:rsid w:val="00717592"/>
    <w:rsid w:val="00720383"/>
    <w:rsid w:val="00736660"/>
    <w:rsid w:val="00765E50"/>
    <w:rsid w:val="0079193D"/>
    <w:rsid w:val="00792B5E"/>
    <w:rsid w:val="007936C4"/>
    <w:rsid w:val="007A3B3E"/>
    <w:rsid w:val="00861D7C"/>
    <w:rsid w:val="008D36FB"/>
    <w:rsid w:val="008E40A6"/>
    <w:rsid w:val="008F2174"/>
    <w:rsid w:val="008F40C5"/>
    <w:rsid w:val="00905F60"/>
    <w:rsid w:val="009C1D79"/>
    <w:rsid w:val="00A11C4C"/>
    <w:rsid w:val="00A225F8"/>
    <w:rsid w:val="00A768D2"/>
    <w:rsid w:val="00A9082E"/>
    <w:rsid w:val="00AC7DD4"/>
    <w:rsid w:val="00AD1AD5"/>
    <w:rsid w:val="00AD442E"/>
    <w:rsid w:val="00AE12D3"/>
    <w:rsid w:val="00B24ABC"/>
    <w:rsid w:val="00B56286"/>
    <w:rsid w:val="00BD37C7"/>
    <w:rsid w:val="00BF391E"/>
    <w:rsid w:val="00C356EE"/>
    <w:rsid w:val="00C953B4"/>
    <w:rsid w:val="00D14F82"/>
    <w:rsid w:val="00DD4A18"/>
    <w:rsid w:val="00E5513B"/>
    <w:rsid w:val="00E96DEE"/>
    <w:rsid w:val="00EB410D"/>
    <w:rsid w:val="00F716FD"/>
    <w:rsid w:val="00F8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5EDA"/>
    <w:pPr>
      <w:keepNext/>
      <w:spacing w:after="0" w:line="240" w:lineRule="auto"/>
      <w:jc w:val="center"/>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E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95ED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5EDA"/>
    <w:rPr>
      <w:rFonts w:ascii="Times New Roman" w:eastAsia="Times New Roman" w:hAnsi="Times New Roman" w:cs="Times New Roman"/>
      <w:b/>
      <w:bCs/>
      <w:i/>
      <w:iCs/>
      <w:sz w:val="24"/>
      <w:szCs w:val="24"/>
    </w:rPr>
  </w:style>
  <w:style w:type="paragraph" w:customStyle="1" w:styleId="ColorfulList-Accent11">
    <w:name w:val="Colorful List - Accent 11"/>
    <w:basedOn w:val="Normal"/>
    <w:uiPriority w:val="34"/>
    <w:qFormat/>
    <w:rsid w:val="00595EDA"/>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595EDA"/>
    <w:pPr>
      <w:ind w:left="720"/>
      <w:contextualSpacing/>
    </w:pPr>
  </w:style>
  <w:style w:type="paragraph" w:styleId="Footer">
    <w:name w:val="footer"/>
    <w:basedOn w:val="Normal"/>
    <w:link w:val="FooterChar"/>
    <w:uiPriority w:val="99"/>
    <w:semiHidden/>
    <w:unhideWhenUsed/>
    <w:rsid w:val="00E96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6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5EDA"/>
    <w:pPr>
      <w:keepNext/>
      <w:spacing w:after="0" w:line="240" w:lineRule="auto"/>
      <w:jc w:val="center"/>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E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95ED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5EDA"/>
    <w:rPr>
      <w:rFonts w:ascii="Times New Roman" w:eastAsia="Times New Roman" w:hAnsi="Times New Roman" w:cs="Times New Roman"/>
      <w:b/>
      <w:bCs/>
      <w:i/>
      <w:iCs/>
      <w:sz w:val="24"/>
      <w:szCs w:val="24"/>
    </w:rPr>
  </w:style>
  <w:style w:type="paragraph" w:customStyle="1" w:styleId="ColorfulList-Accent11">
    <w:name w:val="Colorful List - Accent 11"/>
    <w:basedOn w:val="Normal"/>
    <w:uiPriority w:val="34"/>
    <w:qFormat/>
    <w:rsid w:val="00595EDA"/>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595EDA"/>
    <w:pPr>
      <w:ind w:left="720"/>
      <w:contextualSpacing/>
    </w:pPr>
  </w:style>
  <w:style w:type="paragraph" w:styleId="Footer">
    <w:name w:val="footer"/>
    <w:basedOn w:val="Normal"/>
    <w:link w:val="FooterChar"/>
    <w:uiPriority w:val="99"/>
    <w:semiHidden/>
    <w:unhideWhenUsed/>
    <w:rsid w:val="00E96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8AF47-9715-4B12-8AC4-E6EADCE6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 Medanos College</dc:creator>
  <cp:lastModifiedBy>Ryan Pedersen</cp:lastModifiedBy>
  <cp:revision>6</cp:revision>
  <dcterms:created xsi:type="dcterms:W3CDTF">2014-02-06T21:30:00Z</dcterms:created>
  <dcterms:modified xsi:type="dcterms:W3CDTF">2014-02-07T21:51:00Z</dcterms:modified>
</cp:coreProperties>
</file>