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B1" w:rsidRPr="00D46F62" w:rsidRDefault="000B2FB1" w:rsidP="00145328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62">
        <w:rPr>
          <w:rFonts w:ascii="Times New Roman" w:hAnsi="Times New Roman" w:cs="Times New Roman"/>
          <w:b/>
          <w:sz w:val="28"/>
          <w:szCs w:val="28"/>
        </w:rPr>
        <w:t xml:space="preserve">Summary of GE assessment </w:t>
      </w:r>
      <w:r w:rsidR="00145328" w:rsidRPr="00D46F62">
        <w:rPr>
          <w:rFonts w:ascii="Times New Roman" w:hAnsi="Times New Roman" w:cs="Times New Roman"/>
          <w:b/>
          <w:sz w:val="28"/>
          <w:szCs w:val="28"/>
        </w:rPr>
        <w:t>2013-</w:t>
      </w:r>
      <w:r w:rsidRPr="00D46F62">
        <w:rPr>
          <w:rFonts w:ascii="Times New Roman" w:hAnsi="Times New Roman" w:cs="Times New Roman"/>
          <w:b/>
          <w:sz w:val="28"/>
          <w:szCs w:val="28"/>
        </w:rPr>
        <w:t>2014</w:t>
      </w:r>
    </w:p>
    <w:p w:rsidR="00847453" w:rsidRDefault="003B3770" w:rsidP="003B377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3B3770">
        <w:rPr>
          <w:rFonts w:ascii="Times New Roman" w:hAnsi="Times New Roman" w:cs="Times New Roman"/>
          <w:sz w:val="24"/>
          <w:szCs w:val="24"/>
        </w:rPr>
        <w:t xml:space="preserve">In 2013-14 </w:t>
      </w:r>
      <w:r w:rsidR="00847453">
        <w:rPr>
          <w:rFonts w:ascii="Times New Roman" w:hAnsi="Times New Roman" w:cs="Times New Roman"/>
          <w:sz w:val="24"/>
          <w:szCs w:val="24"/>
        </w:rPr>
        <w:t>the GE Committee led</w:t>
      </w:r>
      <w:r w:rsidRPr="003B3770">
        <w:rPr>
          <w:rFonts w:ascii="Times New Roman" w:hAnsi="Times New Roman" w:cs="Times New Roman"/>
          <w:sz w:val="24"/>
          <w:szCs w:val="24"/>
        </w:rPr>
        <w:t xml:space="preserve"> a General Education assessment designed answer the following question: </w:t>
      </w:r>
    </w:p>
    <w:p w:rsidR="003B3770" w:rsidRPr="00D46F62" w:rsidRDefault="003B3770" w:rsidP="003B3770">
      <w:pPr>
        <w:tabs>
          <w:tab w:val="num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6F62">
        <w:rPr>
          <w:rFonts w:ascii="Times New Roman" w:hAnsi="Times New Roman" w:cs="Times New Roman"/>
          <w:b/>
          <w:i/>
          <w:sz w:val="24"/>
          <w:szCs w:val="24"/>
        </w:rPr>
        <w:t xml:space="preserve">How will students do on a course-embedded assessment that measures GE SLO 1 (writing/reading), GE SLO 3 (critical thinking), and GE SLO 4 (ethics) </w:t>
      </w:r>
      <w:r w:rsidRPr="00D46F62">
        <w:rPr>
          <w:rFonts w:ascii="Times New Roman" w:hAnsi="Times New Roman" w:cs="Times New Roman"/>
          <w:b/>
          <w:bCs/>
          <w:i/>
          <w:sz w:val="24"/>
          <w:szCs w:val="24"/>
        </w:rPr>
        <w:t>relative to number of GE units taken?</w:t>
      </w:r>
      <w:r w:rsidRPr="00D46F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7453" w:rsidRDefault="00847453" w:rsidP="003B3770">
      <w:pPr>
        <w:tabs>
          <w:tab w:val="num" w:pos="720"/>
        </w:tabs>
        <w:rPr>
          <w:rFonts w:ascii="Times New Roman" w:hAnsi="Times New Roman" w:cs="Times New Roman"/>
          <w:bCs/>
          <w:sz w:val="24"/>
          <w:szCs w:val="24"/>
        </w:rPr>
      </w:pPr>
      <w:r w:rsidRPr="00847453">
        <w:rPr>
          <w:rFonts w:ascii="Times New Roman" w:hAnsi="Times New Roman" w:cs="Times New Roman"/>
          <w:bCs/>
          <w:sz w:val="24"/>
          <w:szCs w:val="24"/>
        </w:rPr>
        <w:t>During the school year 2012-2013, the GE assessment was planned during multiple meetings: all-faculty-invited GE events, Teaching and Learning Committee meetings, and many GE committee meetings.</w:t>
      </w:r>
    </w:p>
    <w:p w:rsidR="003B72F9" w:rsidRPr="003B3770" w:rsidRDefault="001E691F" w:rsidP="003B377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During the</w:t>
      </w:r>
      <w:r w:rsidR="0052620A">
        <w:rPr>
          <w:rFonts w:ascii="Times New Roman" w:hAnsi="Times New Roman" w:cs="Times New Roman"/>
          <w:bCs/>
          <w:sz w:val="24"/>
          <w:szCs w:val="24"/>
        </w:rPr>
        <w:t xml:space="preserve"> Fall 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sem</w:t>
      </w:r>
      <w:r w:rsidR="00172234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ster</w:t>
      </w:r>
      <w:r w:rsidR="0052620A">
        <w:rPr>
          <w:rFonts w:ascii="Times New Roman" w:hAnsi="Times New Roman" w:cs="Times New Roman"/>
          <w:bCs/>
          <w:sz w:val="24"/>
          <w:szCs w:val="24"/>
        </w:rPr>
        <w:t>, w</w:t>
      </w:r>
      <w:r w:rsidR="0052620A" w:rsidRPr="003B3770">
        <w:rPr>
          <w:rFonts w:ascii="Times New Roman" w:hAnsi="Times New Roman" w:cs="Times New Roman"/>
          <w:bCs/>
          <w:sz w:val="24"/>
          <w:szCs w:val="24"/>
        </w:rPr>
        <w:t>e collected over 300 student papers from GE courses in journalism, biology, philosophy, and political science.</w:t>
      </w:r>
      <w:r w:rsidR="003B3770" w:rsidRPr="003B3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20A" w:rsidRPr="003B3770">
        <w:rPr>
          <w:rFonts w:ascii="Times New Roman" w:hAnsi="Times New Roman" w:cs="Times New Roman"/>
          <w:bCs/>
          <w:sz w:val="24"/>
          <w:szCs w:val="24"/>
        </w:rPr>
        <w:t>Each student handed in a 2-page paper based on a short article about an ethical issue.</w:t>
      </w:r>
      <w:r w:rsidR="003B3770" w:rsidRPr="003B37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620A" w:rsidRPr="003B3770">
        <w:rPr>
          <w:rFonts w:ascii="Times New Roman" w:hAnsi="Times New Roman" w:cs="Times New Roman"/>
          <w:sz w:val="24"/>
          <w:szCs w:val="24"/>
        </w:rPr>
        <w:t>Using the student ID numbers of all the students who did the assessment, the district research office made us a weighted random sample of 90 students with varying numbers of GE units successfully completed:</w:t>
      </w:r>
    </w:p>
    <w:p w:rsidR="003B72F9" w:rsidRPr="003B3770" w:rsidRDefault="0052620A" w:rsidP="003B3770">
      <w:pPr>
        <w:pStyle w:val="ListParagraph"/>
        <w:numPr>
          <w:ilvl w:val="0"/>
          <w:numId w:val="5"/>
        </w:numPr>
      </w:pPr>
      <w:r w:rsidRPr="003B3770">
        <w:rPr>
          <w:rFonts w:eastAsiaTheme="minorEastAsia"/>
        </w:rPr>
        <w:t xml:space="preserve">30 </w:t>
      </w:r>
      <w:bookmarkStart w:id="0" w:name="_GoBack"/>
      <w:bookmarkEnd w:id="0"/>
      <w:r w:rsidRPr="003B3770">
        <w:rPr>
          <w:rFonts w:eastAsiaTheme="minorEastAsia"/>
        </w:rPr>
        <w:t>students with a low number of GE units (0-9)</w:t>
      </w:r>
    </w:p>
    <w:p w:rsidR="003B72F9" w:rsidRPr="003B3770" w:rsidRDefault="0052620A" w:rsidP="003B3770">
      <w:pPr>
        <w:pStyle w:val="ListParagraph"/>
        <w:numPr>
          <w:ilvl w:val="0"/>
          <w:numId w:val="5"/>
        </w:numPr>
      </w:pPr>
      <w:r w:rsidRPr="003B3770">
        <w:rPr>
          <w:rFonts w:eastAsiaTheme="minorEastAsia"/>
        </w:rPr>
        <w:t>30 students with a medium number of GE units (12-18)</w:t>
      </w:r>
    </w:p>
    <w:p w:rsidR="003B72F9" w:rsidRPr="003B3770" w:rsidRDefault="0052620A" w:rsidP="003B3770">
      <w:pPr>
        <w:pStyle w:val="ListParagraph"/>
        <w:numPr>
          <w:ilvl w:val="0"/>
          <w:numId w:val="5"/>
        </w:numPr>
      </w:pPr>
      <w:r w:rsidRPr="003B3770">
        <w:rPr>
          <w:rFonts w:eastAsiaTheme="minorEastAsia"/>
        </w:rPr>
        <w:t>30 students with a high number of GE units (21+)</w:t>
      </w:r>
    </w:p>
    <w:p w:rsidR="00172234" w:rsidRDefault="00172234" w:rsidP="003B3770">
      <w:pPr>
        <w:rPr>
          <w:rFonts w:ascii="Times New Roman" w:hAnsi="Times New Roman" w:cs="Times New Roman"/>
          <w:sz w:val="24"/>
          <w:szCs w:val="24"/>
        </w:rPr>
      </w:pPr>
    </w:p>
    <w:p w:rsidR="003B3770" w:rsidRDefault="003B3770" w:rsidP="003B3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January 2014 twelve</w:t>
      </w:r>
      <w:r w:rsidR="0052620A" w:rsidRPr="003B3770">
        <w:rPr>
          <w:rFonts w:ascii="Times New Roman" w:hAnsi="Times New Roman" w:cs="Times New Roman"/>
          <w:sz w:val="24"/>
          <w:szCs w:val="24"/>
        </w:rPr>
        <w:t xml:space="preserve"> LMC faculty met and scored the 90 papers. Faculty were from biology, physical sciences, art &amp; humanities, political science, journalism, English, math, plus one dean.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234">
        <w:rPr>
          <w:rFonts w:ascii="Times New Roman" w:hAnsi="Times New Roman" w:cs="Times New Roman"/>
          <w:sz w:val="24"/>
          <w:szCs w:val="24"/>
        </w:rPr>
        <w:t>Using a rubric, e</w:t>
      </w:r>
      <w:r w:rsidR="0052620A" w:rsidRPr="003B3770">
        <w:rPr>
          <w:rFonts w:ascii="Times New Roman" w:hAnsi="Times New Roman" w:cs="Times New Roman"/>
          <w:sz w:val="24"/>
          <w:szCs w:val="24"/>
        </w:rPr>
        <w:t>ach student paper was scored as high proficient (HP), proficient (P), or not profic</w:t>
      </w:r>
      <w:r w:rsidR="00847453">
        <w:rPr>
          <w:rFonts w:ascii="Times New Roman" w:hAnsi="Times New Roman" w:cs="Times New Roman"/>
          <w:sz w:val="24"/>
          <w:szCs w:val="24"/>
        </w:rPr>
        <w:t xml:space="preserve">ient (NP) in </w:t>
      </w:r>
      <w:r w:rsidR="00847453" w:rsidRPr="003B3770">
        <w:rPr>
          <w:rFonts w:ascii="Times New Roman" w:hAnsi="Times New Roman" w:cs="Times New Roman"/>
          <w:sz w:val="24"/>
          <w:szCs w:val="24"/>
        </w:rPr>
        <w:t xml:space="preserve">ethical thinking, critical </w:t>
      </w:r>
      <w:r w:rsidR="00847453">
        <w:rPr>
          <w:rFonts w:ascii="Times New Roman" w:hAnsi="Times New Roman" w:cs="Times New Roman"/>
          <w:sz w:val="24"/>
          <w:szCs w:val="24"/>
        </w:rPr>
        <w:t>thinking, writing, and reading</w:t>
      </w:r>
      <w:r w:rsidR="0052620A" w:rsidRPr="003B37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Proficient was defined as,</w:t>
      </w:r>
      <w:r w:rsidR="0052620A" w:rsidRPr="003B3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2620A" w:rsidRPr="003B3770">
        <w:rPr>
          <w:rFonts w:ascii="Times New Roman" w:hAnsi="Times New Roman" w:cs="Times New Roman"/>
          <w:sz w:val="24"/>
          <w:szCs w:val="24"/>
        </w:rPr>
        <w:t>meets our expectations for a student at or near completion of the AA/AS degree.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847453" w:rsidRDefault="003B3770" w:rsidP="003B3770">
      <w:pPr>
        <w:rPr>
          <w:rFonts w:ascii="Times New Roman" w:hAnsi="Times New Roman" w:cs="Times New Roman"/>
          <w:sz w:val="24"/>
          <w:szCs w:val="24"/>
        </w:rPr>
      </w:pPr>
      <w:r w:rsidRPr="00C00CF0">
        <w:rPr>
          <w:rFonts w:ascii="Times New Roman" w:hAnsi="Times New Roman" w:cs="Times New Roman"/>
          <w:b/>
          <w:sz w:val="24"/>
          <w:szCs w:val="24"/>
        </w:rPr>
        <w:t>What were the results?</w:t>
      </w:r>
      <w:r>
        <w:rPr>
          <w:rFonts w:ascii="Times New Roman" w:hAnsi="Times New Roman" w:cs="Times New Roman"/>
          <w:sz w:val="24"/>
          <w:szCs w:val="24"/>
        </w:rPr>
        <w:t xml:space="preserve"> Our major finding was that a</w:t>
      </w:r>
      <w:r w:rsidRPr="003B3770">
        <w:rPr>
          <w:rFonts w:ascii="Times New Roman" w:hAnsi="Times New Roman" w:cs="Times New Roman"/>
          <w:sz w:val="24"/>
          <w:szCs w:val="24"/>
        </w:rPr>
        <w:t>s students take and pass more GE courses, their proficiency in ethical thinking, critical thinking, and writing increases.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28">
        <w:rPr>
          <w:rFonts w:ascii="Times New Roman" w:hAnsi="Times New Roman" w:cs="Times New Roman"/>
          <w:sz w:val="24"/>
          <w:szCs w:val="24"/>
        </w:rPr>
        <w:t xml:space="preserve">(See </w:t>
      </w:r>
      <w:r w:rsidR="00C00CF0">
        <w:rPr>
          <w:rFonts w:ascii="Times New Roman" w:hAnsi="Times New Roman" w:cs="Times New Roman"/>
          <w:sz w:val="24"/>
          <w:szCs w:val="24"/>
        </w:rPr>
        <w:t>PowerPoint</w:t>
      </w:r>
      <w:r w:rsidR="00145328">
        <w:rPr>
          <w:rFonts w:ascii="Times New Roman" w:hAnsi="Times New Roman" w:cs="Times New Roman"/>
          <w:sz w:val="24"/>
          <w:szCs w:val="24"/>
        </w:rPr>
        <w:t xml:space="preserve"> slide pasted in below.)</w:t>
      </w:r>
    </w:p>
    <w:p w:rsidR="00847453" w:rsidRDefault="003B3770" w:rsidP="003B3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1E691F">
        <w:rPr>
          <w:rFonts w:ascii="Times New Roman" w:hAnsi="Times New Roman" w:cs="Times New Roman"/>
          <w:sz w:val="24"/>
          <w:szCs w:val="24"/>
        </w:rPr>
        <w:t>only in the 21+ unit range did the majority of students score as proficient or high proficient in ethical thinking and critical thinking. In</w:t>
      </w:r>
      <w:r w:rsidR="0052620A" w:rsidRPr="003B3770">
        <w:rPr>
          <w:rFonts w:ascii="Times New Roman" w:hAnsi="Times New Roman" w:cs="Times New Roman"/>
          <w:sz w:val="24"/>
          <w:szCs w:val="24"/>
        </w:rPr>
        <w:t xml:space="preserve"> the 12-18 unit range, which is the GE requirement for a non-transfer associates degree (12 units GE + English and math), less than 50% of students are proficient in ethical and critical thinking, and only 63% are proficient in writing.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F62" w:rsidRDefault="00D46F6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145328" w:rsidRDefault="00D46F62" w:rsidP="003B3770">
      <w:pPr>
        <w:rPr>
          <w:rFonts w:ascii="Times New Roman" w:hAnsi="Times New Roman" w:cs="Times New Roman"/>
          <w:sz w:val="24"/>
          <w:szCs w:val="24"/>
        </w:rPr>
      </w:pPr>
      <w:r w:rsidRPr="00D46F6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6D169F" wp14:editId="4A89CD66">
            <wp:extent cx="6156249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691" cy="34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6C4" w:rsidRDefault="00A6203A">
      <w:pPr>
        <w:rPr>
          <w:rFonts w:ascii="Times New Roman" w:hAnsi="Times New Roman" w:cs="Times New Roman"/>
          <w:sz w:val="24"/>
          <w:szCs w:val="24"/>
        </w:rPr>
      </w:pPr>
    </w:p>
    <w:p w:rsidR="00E3215F" w:rsidRDefault="00E3215F">
      <w:pPr>
        <w:rPr>
          <w:rFonts w:ascii="Times New Roman" w:hAnsi="Times New Roman" w:cs="Times New Roman"/>
          <w:b/>
          <w:sz w:val="24"/>
          <w:szCs w:val="24"/>
        </w:rPr>
      </w:pPr>
    </w:p>
    <w:p w:rsidR="00CB6045" w:rsidRPr="00E3215F" w:rsidRDefault="00CB6045">
      <w:pPr>
        <w:rPr>
          <w:rFonts w:ascii="Times New Roman" w:hAnsi="Times New Roman" w:cs="Times New Roman"/>
          <w:b/>
          <w:sz w:val="24"/>
          <w:szCs w:val="24"/>
        </w:rPr>
      </w:pPr>
      <w:r w:rsidRPr="00E3215F">
        <w:rPr>
          <w:rFonts w:ascii="Times New Roman" w:hAnsi="Times New Roman" w:cs="Times New Roman"/>
          <w:b/>
          <w:sz w:val="24"/>
          <w:szCs w:val="24"/>
        </w:rPr>
        <w:t>Alex’s thoughts about what it means</w:t>
      </w:r>
      <w:r w:rsidR="00B43D54" w:rsidRPr="00E3215F">
        <w:rPr>
          <w:rFonts w:ascii="Times New Roman" w:hAnsi="Times New Roman" w:cs="Times New Roman"/>
          <w:b/>
          <w:sz w:val="24"/>
          <w:szCs w:val="24"/>
        </w:rPr>
        <w:t xml:space="preserve"> (as of April 9, 2014)</w:t>
      </w:r>
      <w:r w:rsidRPr="00E3215F">
        <w:rPr>
          <w:rFonts w:ascii="Times New Roman" w:hAnsi="Times New Roman" w:cs="Times New Roman"/>
          <w:b/>
          <w:sz w:val="24"/>
          <w:szCs w:val="24"/>
        </w:rPr>
        <w:t>:</w:t>
      </w:r>
    </w:p>
    <w:p w:rsidR="00B43D54" w:rsidRDefault="00B43D54" w:rsidP="00B43D54">
      <w:pPr>
        <w:pStyle w:val="ListParagraph"/>
        <w:numPr>
          <w:ilvl w:val="0"/>
          <w:numId w:val="7"/>
        </w:numPr>
      </w:pPr>
      <w:r w:rsidRPr="00B43D54">
        <w:t>The study could be redone better, but still the results are meaningful.</w:t>
      </w:r>
    </w:p>
    <w:p w:rsidR="00F15F5F" w:rsidRDefault="00F15F5F" w:rsidP="00F15F5F">
      <w:pPr>
        <w:pStyle w:val="ListParagraph"/>
      </w:pPr>
    </w:p>
    <w:p w:rsidR="00B43D54" w:rsidRDefault="009371B8" w:rsidP="00B43D54">
      <w:pPr>
        <w:pStyle w:val="ListParagraph"/>
        <w:numPr>
          <w:ilvl w:val="0"/>
          <w:numId w:val="7"/>
        </w:numPr>
      </w:pPr>
      <w:r>
        <w:t>I</w:t>
      </w:r>
      <w:r w:rsidR="00B43D54">
        <w:t>deas</w:t>
      </w:r>
      <w:r>
        <w:t xml:space="preserve"> for more research</w:t>
      </w:r>
      <w:r w:rsidR="00B43D54">
        <w:t xml:space="preserve">: </w:t>
      </w:r>
    </w:p>
    <w:p w:rsidR="00B43D54" w:rsidRDefault="00B43D54" w:rsidP="00B43D54">
      <w:pPr>
        <w:pStyle w:val="ListParagraph"/>
        <w:numPr>
          <w:ilvl w:val="1"/>
          <w:numId w:val="7"/>
        </w:numPr>
      </w:pPr>
      <w:r>
        <w:t xml:space="preserve">same focus on ethics with more </w:t>
      </w:r>
      <w:r w:rsidR="00E3215F">
        <w:t>non-GE</w:t>
      </w:r>
      <w:r>
        <w:t xml:space="preserve"> faculty participating</w:t>
      </w:r>
      <w:r w:rsidR="00F15F5F">
        <w:t xml:space="preserve"> + other improvements</w:t>
      </w:r>
    </w:p>
    <w:p w:rsidR="00B43D54" w:rsidRDefault="00B43D54" w:rsidP="00B43D54">
      <w:pPr>
        <w:pStyle w:val="ListParagraph"/>
        <w:numPr>
          <w:ilvl w:val="1"/>
          <w:numId w:val="7"/>
        </w:numPr>
      </w:pPr>
      <w:r>
        <w:t>similar study with focus on GE SLO 5 (diversity) instead of ethics</w:t>
      </w:r>
    </w:p>
    <w:p w:rsidR="00F15F5F" w:rsidRPr="00B43D54" w:rsidRDefault="00F15F5F" w:rsidP="00F15F5F">
      <w:pPr>
        <w:pStyle w:val="ListParagraph"/>
        <w:ind w:left="1440"/>
      </w:pPr>
    </w:p>
    <w:p w:rsidR="00E97BE7" w:rsidRPr="00B43D54" w:rsidRDefault="00E97BE7" w:rsidP="00B43D54">
      <w:pPr>
        <w:pStyle w:val="ListParagraph"/>
        <w:numPr>
          <w:ilvl w:val="0"/>
          <w:numId w:val="7"/>
        </w:numPr>
      </w:pPr>
      <w:r w:rsidRPr="00B43D54">
        <w:t xml:space="preserve">Renew </w:t>
      </w:r>
      <w:r w:rsidR="00B43D54" w:rsidRPr="00B43D54">
        <w:t xml:space="preserve">professional development efforts around ethics, critical thinking, </w:t>
      </w:r>
      <w:r w:rsidR="00B43D54">
        <w:t xml:space="preserve">and </w:t>
      </w:r>
      <w:r w:rsidR="00B43D54" w:rsidRPr="00B43D54">
        <w:t>writing.</w:t>
      </w:r>
      <w:r w:rsidR="00B43D54">
        <w:t xml:space="preserve"> </w:t>
      </w:r>
    </w:p>
    <w:p w:rsidR="00B43D54" w:rsidRDefault="00B43D54" w:rsidP="00F15F5F">
      <w:pPr>
        <w:pStyle w:val="ListParagraph"/>
        <w:numPr>
          <w:ilvl w:val="1"/>
          <w:numId w:val="7"/>
        </w:numPr>
      </w:pPr>
      <w:r w:rsidRPr="00B43D54">
        <w:t>In GE, bump up our ethics teaching a notch.</w:t>
      </w:r>
      <w:r w:rsidR="00E3215F">
        <w:t xml:space="preserve"> Ask more of our students when it comes to them demonstrating their ability to think through an ethical issue.</w:t>
      </w:r>
    </w:p>
    <w:p w:rsidR="00F15F5F" w:rsidRDefault="00F15F5F" w:rsidP="00F15F5F">
      <w:pPr>
        <w:pStyle w:val="ListParagraph"/>
        <w:numPr>
          <w:ilvl w:val="1"/>
          <w:numId w:val="7"/>
        </w:numPr>
      </w:pPr>
      <w:r>
        <w:t>Work with new Professional Learning Facilitator</w:t>
      </w:r>
      <w:r w:rsidR="009371B8">
        <w:t>.</w:t>
      </w:r>
    </w:p>
    <w:p w:rsidR="00F15F5F" w:rsidRDefault="00F15F5F" w:rsidP="00F15F5F">
      <w:pPr>
        <w:pStyle w:val="ListParagraph"/>
        <w:ind w:left="1440"/>
      </w:pPr>
    </w:p>
    <w:p w:rsidR="00B43D54" w:rsidRDefault="009371B8" w:rsidP="00B43D54">
      <w:pPr>
        <w:pStyle w:val="ListParagraph"/>
        <w:numPr>
          <w:ilvl w:val="0"/>
          <w:numId w:val="7"/>
        </w:numPr>
      </w:pPr>
      <w:r>
        <w:t>Regarding the new requirements for the local AA/AS, e</w:t>
      </w:r>
      <w:r w:rsidR="00B43D54">
        <w:t xml:space="preserve">liminating the ethical inquiry requirement and the communication &amp; critical thinking box </w:t>
      </w:r>
      <w:r w:rsidR="00E87FEC">
        <w:t>wa</w:t>
      </w:r>
      <w:r w:rsidR="00B43D54">
        <w:t xml:space="preserve">s </w:t>
      </w:r>
      <w:r w:rsidR="00E87FEC" w:rsidRPr="00E87FEC">
        <w:rPr>
          <w:i/>
        </w:rPr>
        <w:t>not</w:t>
      </w:r>
      <w:r w:rsidR="00B43D54">
        <w:t xml:space="preserve"> justified by this study.</w:t>
      </w:r>
    </w:p>
    <w:p w:rsidR="00F15F5F" w:rsidRDefault="00F15F5F" w:rsidP="00F15F5F">
      <w:pPr>
        <w:pStyle w:val="ListParagraph"/>
      </w:pPr>
    </w:p>
    <w:p w:rsidR="00E3215F" w:rsidRDefault="00E3215F" w:rsidP="00B43D54">
      <w:pPr>
        <w:pStyle w:val="ListParagraph"/>
        <w:numPr>
          <w:ilvl w:val="0"/>
          <w:numId w:val="7"/>
        </w:numPr>
      </w:pPr>
      <w:r>
        <w:t>Learn more about the population that does the local associates degree, and design our program for them.</w:t>
      </w:r>
    </w:p>
    <w:p w:rsidR="00F15F5F" w:rsidRDefault="00F15F5F" w:rsidP="00F15F5F">
      <w:pPr>
        <w:pStyle w:val="ListParagraph"/>
      </w:pPr>
    </w:p>
    <w:p w:rsidR="00CB6045" w:rsidRPr="009371B8" w:rsidRDefault="00F15F5F" w:rsidP="009037F2">
      <w:pPr>
        <w:pStyle w:val="ListParagraph"/>
        <w:numPr>
          <w:ilvl w:val="0"/>
          <w:numId w:val="7"/>
        </w:numPr>
        <w:rPr>
          <w:b/>
        </w:rPr>
      </w:pPr>
      <w:r>
        <w:t>Visit the GE Committee to share your ideas! Apr 18, May 2, May 16. All 2:30-4 in room L-105. asterling@losmedanos.edu.</w:t>
      </w:r>
    </w:p>
    <w:sectPr w:rsidR="00CB6045" w:rsidRPr="00937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7D9"/>
    <w:multiLevelType w:val="hybridMultilevel"/>
    <w:tmpl w:val="7FA2F862"/>
    <w:lvl w:ilvl="0" w:tplc="8EAA84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52B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369A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30C7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54D77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F26A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6A0B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70F10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B884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5200220"/>
    <w:multiLevelType w:val="hybridMultilevel"/>
    <w:tmpl w:val="5BCAE68C"/>
    <w:lvl w:ilvl="0" w:tplc="3D705F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9CC21C">
      <w:start w:val="33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1EF60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F64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9AAF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02CE6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96A6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86CC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38A8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9C11896"/>
    <w:multiLevelType w:val="hybridMultilevel"/>
    <w:tmpl w:val="F0B6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B3214"/>
    <w:multiLevelType w:val="hybridMultilevel"/>
    <w:tmpl w:val="B908D688"/>
    <w:lvl w:ilvl="0" w:tplc="CC6E534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746658">
      <w:start w:val="33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D6B48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AEFF6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9A37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0615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C806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10A4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1EFE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6260C31"/>
    <w:multiLevelType w:val="hybridMultilevel"/>
    <w:tmpl w:val="CDC21E7A"/>
    <w:lvl w:ilvl="0" w:tplc="8EAE0D7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F63BBC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DA71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4655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E4B6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DCBB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5E87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6455E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90C2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2BE2144"/>
    <w:multiLevelType w:val="hybridMultilevel"/>
    <w:tmpl w:val="C84C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60156"/>
    <w:multiLevelType w:val="hybridMultilevel"/>
    <w:tmpl w:val="DF622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0"/>
    <w:rsid w:val="0002128A"/>
    <w:rsid w:val="000B2FB1"/>
    <w:rsid w:val="000B6E5D"/>
    <w:rsid w:val="00145328"/>
    <w:rsid w:val="00172234"/>
    <w:rsid w:val="001E691F"/>
    <w:rsid w:val="00232CDF"/>
    <w:rsid w:val="002B027D"/>
    <w:rsid w:val="003B3770"/>
    <w:rsid w:val="003B72F9"/>
    <w:rsid w:val="0052620A"/>
    <w:rsid w:val="0065350F"/>
    <w:rsid w:val="00785FEA"/>
    <w:rsid w:val="007A5076"/>
    <w:rsid w:val="00847453"/>
    <w:rsid w:val="008D53E4"/>
    <w:rsid w:val="009371B8"/>
    <w:rsid w:val="00A6203A"/>
    <w:rsid w:val="00B43D54"/>
    <w:rsid w:val="00BF4CFB"/>
    <w:rsid w:val="00C00CF0"/>
    <w:rsid w:val="00CB6045"/>
    <w:rsid w:val="00D46F62"/>
    <w:rsid w:val="00E037C8"/>
    <w:rsid w:val="00E3215F"/>
    <w:rsid w:val="00E87FEC"/>
    <w:rsid w:val="00E97BE7"/>
    <w:rsid w:val="00F15F5F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5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2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6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5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6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1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Eloine Chapman</cp:lastModifiedBy>
  <cp:revision>2</cp:revision>
  <dcterms:created xsi:type="dcterms:W3CDTF">2014-04-11T21:04:00Z</dcterms:created>
  <dcterms:modified xsi:type="dcterms:W3CDTF">2014-04-11T21:04:00Z</dcterms:modified>
</cp:coreProperties>
</file>