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2F" w:rsidRPr="00AE682F" w:rsidRDefault="00AE682F" w:rsidP="00F71C69">
      <w:pPr>
        <w:spacing w:before="0"/>
        <w:rPr>
          <w:rFonts w:asciiTheme="majorHAnsi" w:hAnsiTheme="majorHAnsi"/>
          <w:b/>
          <w:color w:val="538135" w:themeColor="accent6" w:themeShade="BF"/>
          <w:sz w:val="48"/>
          <w:szCs w:val="48"/>
        </w:rPr>
      </w:pPr>
      <w:bookmarkStart w:id="0" w:name="_GoBack"/>
      <w:bookmarkEnd w:id="0"/>
      <w:r w:rsidRPr="00AE682F">
        <w:rPr>
          <w:rFonts w:asciiTheme="majorHAnsi" w:hAnsiTheme="majorHAnsi"/>
          <w:b/>
          <w:color w:val="538135" w:themeColor="accent6" w:themeShade="BF"/>
          <w:sz w:val="48"/>
          <w:szCs w:val="48"/>
        </w:rPr>
        <w:t xml:space="preserve">Strong Workforce Program: </w:t>
      </w:r>
    </w:p>
    <w:p w:rsidR="009E4A21" w:rsidRPr="007728FB" w:rsidRDefault="00AE682F" w:rsidP="00F71C69">
      <w:pPr>
        <w:shd w:val="clear" w:color="auto" w:fill="FFE599" w:themeFill="accent4" w:themeFillTint="66"/>
        <w:spacing w:before="0"/>
        <w:rPr>
          <w:rFonts w:asciiTheme="majorHAnsi" w:hAnsiTheme="majorHAnsi"/>
          <w:sz w:val="26"/>
          <w:szCs w:val="26"/>
        </w:rPr>
      </w:pPr>
      <w:r w:rsidRPr="007728FB">
        <w:rPr>
          <w:rFonts w:asciiTheme="majorHAnsi" w:hAnsiTheme="majorHAnsi"/>
          <w:sz w:val="26"/>
          <w:szCs w:val="26"/>
        </w:rPr>
        <w:t xml:space="preserve">Quick Reference for </w:t>
      </w:r>
      <w:r w:rsidR="00F71C69" w:rsidRPr="007728FB">
        <w:rPr>
          <w:rFonts w:asciiTheme="majorHAnsi" w:hAnsiTheme="majorHAnsi"/>
          <w:sz w:val="26"/>
          <w:szCs w:val="26"/>
        </w:rPr>
        <w:t xml:space="preserve">Strong Workforce Program (SWP) </w:t>
      </w:r>
      <w:r w:rsidRPr="007728FB">
        <w:rPr>
          <w:rFonts w:asciiTheme="majorHAnsi" w:hAnsiTheme="majorHAnsi"/>
          <w:sz w:val="26"/>
          <w:szCs w:val="26"/>
        </w:rPr>
        <w:t>Participation and Plan Requirements</w:t>
      </w:r>
    </w:p>
    <w:p w:rsidR="00AE682F" w:rsidRPr="007728FB" w:rsidRDefault="00AE682F" w:rsidP="00F71C69">
      <w:pPr>
        <w:rPr>
          <w:rFonts w:asciiTheme="majorHAnsi" w:hAnsiTheme="majorHAnsi"/>
        </w:rPr>
      </w:pPr>
      <w:r w:rsidRPr="007728FB">
        <w:rPr>
          <w:rFonts w:asciiTheme="majorHAnsi" w:hAnsiTheme="majorHAnsi"/>
        </w:rPr>
        <w:t xml:space="preserve">The requirements for participation in SWP and for the Local and Regional SWP Plans identified below are pulled </w:t>
      </w:r>
      <w:r w:rsidR="00F71C69" w:rsidRPr="007728FB">
        <w:rPr>
          <w:rFonts w:asciiTheme="majorHAnsi" w:hAnsiTheme="majorHAnsi"/>
        </w:rPr>
        <w:t xml:space="preserve">directly </w:t>
      </w:r>
      <w:r w:rsidRPr="007728FB">
        <w:rPr>
          <w:rFonts w:asciiTheme="majorHAnsi" w:hAnsiTheme="majorHAnsi"/>
        </w:rPr>
        <w:t xml:space="preserve">from the </w:t>
      </w:r>
      <w:r w:rsidR="00F71C69" w:rsidRPr="007728FB">
        <w:rPr>
          <w:rFonts w:asciiTheme="majorHAnsi" w:hAnsiTheme="majorHAnsi"/>
        </w:rPr>
        <w:t>Strong Workforce Trailer Bill. They parallel elements highlighted by the Chancellor’s Office in the guidance memo, “</w:t>
      </w:r>
      <w:r w:rsidR="00F71C69" w:rsidRPr="007728FB">
        <w:rPr>
          <w:rFonts w:asciiTheme="majorHAnsi" w:hAnsiTheme="majorHAnsi"/>
          <w:i/>
        </w:rPr>
        <w:t>Guidelines, Definitions, and Reasonable Standards for Strong Workforce Investment (Local and Regional Share</w:t>
      </w:r>
      <w:r w:rsidR="00F71C69" w:rsidRPr="007728FB">
        <w:rPr>
          <w:rFonts w:asciiTheme="majorHAnsi" w:hAnsiTheme="majorHAnsi"/>
        </w:rPr>
        <w:t>) issued September 14</w:t>
      </w:r>
      <w:r w:rsidR="00F71C69" w:rsidRPr="007728FB">
        <w:rPr>
          <w:rFonts w:asciiTheme="majorHAnsi" w:hAnsiTheme="majorHAnsi"/>
          <w:vertAlign w:val="superscript"/>
        </w:rPr>
        <w:t>th</w:t>
      </w:r>
      <w:r w:rsidR="00F71C69" w:rsidRPr="007728FB">
        <w:rPr>
          <w:rFonts w:asciiTheme="majorHAnsi" w:hAnsiTheme="majorHAnsi"/>
        </w:rPr>
        <w:t>, 2016.</w:t>
      </w:r>
    </w:p>
    <w:p w:rsidR="00F71C69" w:rsidRPr="007728FB" w:rsidRDefault="00F71C69" w:rsidP="002A74D8">
      <w:pPr>
        <w:spacing w:before="180"/>
        <w:rPr>
          <w:rFonts w:asciiTheme="majorHAnsi" w:hAnsiTheme="majorHAnsi"/>
          <w:b/>
          <w:color w:val="538135" w:themeColor="accent6" w:themeShade="BF"/>
          <w:sz w:val="28"/>
          <w:szCs w:val="28"/>
        </w:rPr>
      </w:pPr>
      <w:r w:rsidRPr="007728FB">
        <w:rPr>
          <w:rFonts w:asciiTheme="majorHAnsi" w:hAnsiTheme="majorHAnsi"/>
          <w:b/>
          <w:color w:val="538135" w:themeColor="accent6" w:themeShade="BF"/>
          <w:sz w:val="28"/>
          <w:szCs w:val="28"/>
        </w:rPr>
        <w:t>Participation Requirements: Recipients of Local or Regional Share Funding Shall:</w:t>
      </w:r>
    </w:p>
    <w:p w:rsidR="00F71C69" w:rsidRPr="007728FB" w:rsidRDefault="001245BE" w:rsidP="002A74D8">
      <w:pPr>
        <w:pStyle w:val="ListParagraph"/>
        <w:numPr>
          <w:ilvl w:val="0"/>
          <w:numId w:val="1"/>
        </w:numPr>
        <w:ind w:left="634" w:hanging="274"/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Be a member of a consortium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[EC§88824(d)(1)]</w:t>
      </w:r>
      <w:r w:rsidRPr="007728FB">
        <w:rPr>
          <w:rFonts w:asciiTheme="majorHAnsi" w:hAnsiTheme="majorHAnsi"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>Defined as an administrative grouping of college districts by EWD and the CO for the purpose of coordination and joint planning within regions.</w:t>
      </w:r>
    </w:p>
    <w:p w:rsidR="001245BE" w:rsidRPr="007728FB" w:rsidRDefault="001245BE" w:rsidP="00462330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 xml:space="preserve">Work with members of the consortium to create </w:t>
      </w:r>
      <w:r w:rsidR="00A94118" w:rsidRPr="007728FB">
        <w:rPr>
          <w:rFonts w:asciiTheme="majorHAnsi" w:hAnsiTheme="majorHAnsi"/>
          <w:b/>
          <w:sz w:val="24"/>
          <w:szCs w:val="24"/>
          <w:u w:val="single"/>
        </w:rPr>
        <w:t>&amp;</w:t>
      </w:r>
      <w:r w:rsidRPr="007728FB">
        <w:rPr>
          <w:rFonts w:asciiTheme="majorHAnsi" w:hAnsiTheme="majorHAnsi"/>
          <w:b/>
          <w:sz w:val="24"/>
          <w:szCs w:val="24"/>
          <w:u w:val="single"/>
        </w:rPr>
        <w:t xml:space="preserve"> submit a plan by Jan 31, 2017</w:t>
      </w:r>
      <w:r w:rsidRPr="007728FB">
        <w:rPr>
          <w:rFonts w:asciiTheme="majorHAnsi" w:hAnsiTheme="majorHAnsi"/>
          <w:b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[EC§88824(d)(2)]</w:t>
      </w:r>
      <w:r w:rsidR="00A94118" w:rsidRPr="007728FB">
        <w:rPr>
          <w:rFonts w:asciiTheme="majorHAnsi" w:hAnsiTheme="majorHAnsi"/>
          <w:i/>
          <w:sz w:val="20"/>
          <w:szCs w:val="20"/>
        </w:rPr>
        <w:t>.</w:t>
      </w:r>
    </w:p>
    <w:p w:rsidR="001245BE" w:rsidRPr="007728FB" w:rsidRDefault="001245BE" w:rsidP="00462330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Collaborate</w:t>
      </w:r>
      <w:r w:rsidRPr="007728FB">
        <w:rPr>
          <w:rFonts w:asciiTheme="majorHAnsi" w:hAnsiTheme="majorHAnsi"/>
          <w:b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[EC§88821(a-e)]</w:t>
      </w:r>
      <w:r w:rsidRPr="007728FB">
        <w:rPr>
          <w:rFonts w:asciiTheme="majorHAnsi" w:hAnsiTheme="majorHAnsi"/>
          <w:sz w:val="20"/>
          <w:szCs w:val="20"/>
        </w:rPr>
        <w:t xml:space="preserve">: </w:t>
      </w:r>
      <w:r w:rsidR="00A94118" w:rsidRPr="007728FB">
        <w:rPr>
          <w:rFonts w:asciiTheme="majorHAnsi" w:hAnsiTheme="majorHAnsi"/>
          <w:sz w:val="20"/>
          <w:szCs w:val="20"/>
        </w:rPr>
        <w:t xml:space="preserve">All Community College Districts </w:t>
      </w:r>
      <w:r w:rsidR="0079434C" w:rsidRPr="007728FB">
        <w:rPr>
          <w:rFonts w:asciiTheme="majorHAnsi" w:hAnsiTheme="majorHAnsi"/>
          <w:sz w:val="20"/>
          <w:szCs w:val="20"/>
        </w:rPr>
        <w:t xml:space="preserve">(CCD’s) </w:t>
      </w:r>
      <w:r w:rsidR="00A94118" w:rsidRPr="007728FB">
        <w:rPr>
          <w:rFonts w:asciiTheme="majorHAnsi" w:hAnsiTheme="majorHAnsi"/>
          <w:sz w:val="20"/>
          <w:szCs w:val="20"/>
        </w:rPr>
        <w:t>participating in local or regional investments must follow collaboration requirements in these sections.</w:t>
      </w:r>
    </w:p>
    <w:p w:rsidR="00A94118" w:rsidRPr="007728FB" w:rsidRDefault="00A94118" w:rsidP="00462330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LMI data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[EC§88824(d)(4)]</w:t>
      </w:r>
      <w:r w:rsidRPr="007728FB">
        <w:rPr>
          <w:rFonts w:asciiTheme="majorHAnsi" w:hAnsiTheme="majorHAnsi"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 xml:space="preserve">Provide performance </w:t>
      </w:r>
      <w:r w:rsidR="0079434C" w:rsidRPr="007728FB">
        <w:rPr>
          <w:rFonts w:asciiTheme="majorHAnsi" w:hAnsiTheme="majorHAnsi"/>
          <w:sz w:val="20"/>
          <w:szCs w:val="20"/>
        </w:rPr>
        <w:t>&amp;</w:t>
      </w:r>
      <w:r w:rsidRPr="007728FB">
        <w:rPr>
          <w:rFonts w:asciiTheme="majorHAnsi" w:hAnsiTheme="majorHAnsi"/>
          <w:sz w:val="20"/>
          <w:szCs w:val="20"/>
        </w:rPr>
        <w:t xml:space="preserve"> LMI data for districts and regional partners to support implementation of the program and describe efforts to align regional workfo</w:t>
      </w:r>
      <w:r w:rsidR="0079434C" w:rsidRPr="007728FB">
        <w:rPr>
          <w:rFonts w:asciiTheme="majorHAnsi" w:hAnsiTheme="majorHAnsi"/>
          <w:sz w:val="20"/>
          <w:szCs w:val="20"/>
        </w:rPr>
        <w:t>rce/educational programming w</w:t>
      </w:r>
      <w:r w:rsidRPr="007728FB">
        <w:rPr>
          <w:rFonts w:asciiTheme="majorHAnsi" w:hAnsiTheme="majorHAnsi"/>
          <w:sz w:val="20"/>
          <w:szCs w:val="20"/>
        </w:rPr>
        <w:t xml:space="preserve"> regional labor market needs including but not limited to the federal Workforce and Innovation Opportunity Act</w:t>
      </w:r>
      <w:r w:rsidR="0079434C" w:rsidRPr="007728FB">
        <w:rPr>
          <w:rFonts w:asciiTheme="majorHAnsi" w:hAnsiTheme="majorHAnsi"/>
          <w:sz w:val="20"/>
          <w:szCs w:val="20"/>
        </w:rPr>
        <w:t xml:space="preserve"> (WIOA).</w:t>
      </w:r>
    </w:p>
    <w:p w:rsidR="00A94118" w:rsidRPr="007728FB" w:rsidRDefault="00A94118" w:rsidP="00462330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Local Investment Planning Efforts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[EC§88823(f)]</w:t>
      </w:r>
      <w:r w:rsidRPr="007728FB">
        <w:rPr>
          <w:rFonts w:asciiTheme="majorHAnsi" w:hAnsiTheme="majorHAnsi"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>CCD’s shall use their region’s plan to inform local planning efforts</w:t>
      </w:r>
      <w:r w:rsidR="00462330" w:rsidRPr="007728FB">
        <w:rPr>
          <w:rFonts w:asciiTheme="majorHAnsi" w:hAnsiTheme="majorHAnsi"/>
          <w:sz w:val="20"/>
          <w:szCs w:val="20"/>
        </w:rPr>
        <w:t xml:space="preserve"> &amp; integrate local, regional, state, other resources to ensure students achieve successful workforce outcomes</w:t>
      </w:r>
      <w:r w:rsidRPr="007728FB">
        <w:rPr>
          <w:rFonts w:asciiTheme="majorHAnsi" w:hAnsiTheme="majorHAnsi"/>
          <w:sz w:val="20"/>
          <w:szCs w:val="20"/>
        </w:rPr>
        <w:t>.</w:t>
      </w:r>
    </w:p>
    <w:p w:rsidR="00462330" w:rsidRPr="007728FB" w:rsidRDefault="00462330" w:rsidP="00462330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Certifications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[EC§88824(d)(5(A-C)]</w:t>
      </w:r>
      <w:r w:rsidRPr="007728FB">
        <w:rPr>
          <w:rFonts w:asciiTheme="majorHAnsi" w:hAnsiTheme="majorHAnsi"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 xml:space="preserve">CCD’s will certify that the use of funds will accomplish </w:t>
      </w:r>
      <w:r w:rsidRPr="007728FB">
        <w:rPr>
          <w:rFonts w:asciiTheme="majorHAnsi" w:hAnsiTheme="majorHAnsi"/>
          <w:b/>
          <w:sz w:val="20"/>
          <w:szCs w:val="20"/>
          <w:u w:val="single"/>
        </w:rPr>
        <w:t>all</w:t>
      </w:r>
      <w:r w:rsidRPr="007728FB">
        <w:rPr>
          <w:rFonts w:asciiTheme="majorHAnsi" w:hAnsiTheme="majorHAnsi"/>
          <w:sz w:val="20"/>
          <w:szCs w:val="20"/>
        </w:rPr>
        <w:t xml:space="preserve"> of the following: </w:t>
      </w:r>
    </w:p>
    <w:p w:rsidR="00462330" w:rsidRPr="007728FB" w:rsidRDefault="00462330" w:rsidP="00462330">
      <w:pPr>
        <w:pStyle w:val="ListParagraph"/>
        <w:numPr>
          <w:ilvl w:val="0"/>
          <w:numId w:val="2"/>
        </w:numPr>
        <w:ind w:left="1080" w:hanging="270"/>
        <w:rPr>
          <w:rFonts w:asciiTheme="majorHAnsi" w:hAnsiTheme="majorHAnsi"/>
          <w:sz w:val="20"/>
          <w:szCs w:val="20"/>
        </w:rPr>
      </w:pPr>
      <w:r w:rsidRPr="007728FB">
        <w:rPr>
          <w:rFonts w:asciiTheme="majorHAnsi" w:hAnsiTheme="majorHAnsi"/>
          <w:sz w:val="20"/>
          <w:szCs w:val="20"/>
        </w:rPr>
        <w:t>Increase number of students in quality CTE courses/programs/pathways (CPP’s) to achieve successful workforce outcomes</w:t>
      </w:r>
      <w:r w:rsidR="006B0A4C" w:rsidRPr="007728FB">
        <w:rPr>
          <w:rFonts w:asciiTheme="majorHAnsi" w:hAnsiTheme="majorHAnsi"/>
          <w:sz w:val="20"/>
          <w:szCs w:val="20"/>
        </w:rPr>
        <w:t>.</w:t>
      </w:r>
    </w:p>
    <w:p w:rsidR="00462330" w:rsidRPr="007728FB" w:rsidRDefault="00462330" w:rsidP="00462330">
      <w:pPr>
        <w:pStyle w:val="ListParagraph"/>
        <w:numPr>
          <w:ilvl w:val="0"/>
          <w:numId w:val="2"/>
        </w:numPr>
        <w:ind w:left="1080" w:hanging="270"/>
        <w:rPr>
          <w:rFonts w:asciiTheme="majorHAnsi" w:hAnsiTheme="majorHAnsi"/>
          <w:sz w:val="20"/>
          <w:szCs w:val="20"/>
        </w:rPr>
      </w:pPr>
      <w:r w:rsidRPr="007728FB">
        <w:rPr>
          <w:rFonts w:asciiTheme="majorHAnsi" w:hAnsiTheme="majorHAnsi"/>
          <w:sz w:val="20"/>
          <w:szCs w:val="20"/>
        </w:rPr>
        <w:t xml:space="preserve">Increase in number of </w:t>
      </w:r>
      <w:r w:rsidR="006B0A4C" w:rsidRPr="007728FB">
        <w:rPr>
          <w:rFonts w:asciiTheme="majorHAnsi" w:hAnsiTheme="majorHAnsi"/>
          <w:sz w:val="20"/>
          <w:szCs w:val="20"/>
        </w:rPr>
        <w:t>quality CTE CPP’s or invest in new or emerging CTE CPP’s likely to become operative in future years and are likely to lead to successful workforce outcomes.</w:t>
      </w:r>
    </w:p>
    <w:p w:rsidR="006B0A4C" w:rsidRPr="007728FB" w:rsidRDefault="006B0A4C" w:rsidP="00462330">
      <w:pPr>
        <w:pStyle w:val="ListParagraph"/>
        <w:numPr>
          <w:ilvl w:val="0"/>
          <w:numId w:val="2"/>
        </w:numPr>
        <w:ind w:left="1080" w:hanging="270"/>
        <w:rPr>
          <w:rFonts w:asciiTheme="majorHAnsi" w:hAnsiTheme="majorHAnsi"/>
          <w:sz w:val="20"/>
          <w:szCs w:val="20"/>
        </w:rPr>
      </w:pPr>
      <w:r w:rsidRPr="007728FB">
        <w:rPr>
          <w:rFonts w:asciiTheme="majorHAnsi" w:hAnsiTheme="majorHAnsi"/>
          <w:sz w:val="20"/>
          <w:szCs w:val="20"/>
        </w:rPr>
        <w:t>Address recommendations from SWP Task Force, including provision of student services related to career exploration, job readiness, job placement and work-based learning</w:t>
      </w:r>
      <w:r w:rsidR="006F4354" w:rsidRPr="007728FB">
        <w:rPr>
          <w:rFonts w:asciiTheme="majorHAnsi" w:hAnsiTheme="majorHAnsi"/>
          <w:sz w:val="20"/>
          <w:szCs w:val="20"/>
        </w:rPr>
        <w:t xml:space="preserve"> (WBL).</w:t>
      </w:r>
    </w:p>
    <w:p w:rsidR="0079434C" w:rsidRPr="007728FB" w:rsidRDefault="0079434C" w:rsidP="0079434C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  <w:u w:val="single"/>
        </w:rPr>
        <w:t>Regional Share Consortium Shall</w:t>
      </w:r>
      <w:r w:rsidR="006B08B2" w:rsidRPr="007728FB">
        <w:rPr>
          <w:rFonts w:asciiTheme="majorHAnsi" w:hAnsiTheme="majorHAnsi"/>
          <w:b/>
          <w:sz w:val="24"/>
          <w:szCs w:val="24"/>
          <w:u w:val="single"/>
        </w:rPr>
        <w:t>: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="006B08B2" w:rsidRPr="007728FB">
        <w:rPr>
          <w:rFonts w:asciiTheme="majorHAnsi" w:hAnsiTheme="majorHAnsi"/>
          <w:sz w:val="20"/>
          <w:szCs w:val="20"/>
        </w:rPr>
        <w:t xml:space="preserve">1) Select a CCD to be a fiscal agent </w:t>
      </w:r>
      <w:r w:rsidRPr="007728FB">
        <w:rPr>
          <w:rFonts w:asciiTheme="majorHAnsi" w:hAnsiTheme="majorHAnsi"/>
          <w:i/>
          <w:sz w:val="20"/>
          <w:szCs w:val="20"/>
        </w:rPr>
        <w:t>[EC§</w:t>
      </w:r>
      <w:r w:rsidR="006B08B2" w:rsidRPr="007728FB">
        <w:rPr>
          <w:rFonts w:asciiTheme="majorHAnsi" w:hAnsiTheme="majorHAnsi"/>
          <w:i/>
          <w:sz w:val="20"/>
          <w:szCs w:val="20"/>
        </w:rPr>
        <w:t>88824(c</w:t>
      </w:r>
      <w:r w:rsidRPr="007728FB">
        <w:rPr>
          <w:rFonts w:asciiTheme="majorHAnsi" w:hAnsiTheme="majorHAnsi"/>
          <w:i/>
          <w:sz w:val="20"/>
          <w:szCs w:val="20"/>
        </w:rPr>
        <w:t>)</w:t>
      </w:r>
      <w:r w:rsidR="006B08B2" w:rsidRPr="007728FB">
        <w:rPr>
          <w:rFonts w:asciiTheme="majorHAnsi" w:hAnsiTheme="majorHAnsi"/>
          <w:i/>
          <w:sz w:val="20"/>
          <w:szCs w:val="20"/>
        </w:rPr>
        <w:t>(1) &amp; §88823(b)(1)</w:t>
      </w:r>
      <w:r w:rsidRPr="007728FB">
        <w:rPr>
          <w:rFonts w:asciiTheme="majorHAnsi" w:hAnsiTheme="majorHAnsi"/>
          <w:i/>
          <w:sz w:val="20"/>
          <w:szCs w:val="20"/>
        </w:rPr>
        <w:t>]</w:t>
      </w:r>
      <w:r w:rsidR="006B08B2" w:rsidRPr="007728FB">
        <w:rPr>
          <w:rFonts w:asciiTheme="majorHAnsi" w:hAnsiTheme="majorHAnsi"/>
          <w:sz w:val="20"/>
          <w:szCs w:val="20"/>
        </w:rPr>
        <w:t xml:space="preserve">; 2) Shall allocate funds only to CCDs </w:t>
      </w:r>
      <w:r w:rsidR="006B08B2" w:rsidRPr="007728FB">
        <w:rPr>
          <w:rFonts w:asciiTheme="majorHAnsi" w:hAnsiTheme="majorHAnsi"/>
          <w:i/>
          <w:sz w:val="20"/>
          <w:szCs w:val="20"/>
        </w:rPr>
        <w:t>[EC§88823(f)]</w:t>
      </w:r>
      <w:r w:rsidR="006B08B2" w:rsidRPr="007728FB">
        <w:rPr>
          <w:rFonts w:asciiTheme="majorHAnsi" w:hAnsiTheme="majorHAnsi"/>
          <w:sz w:val="20"/>
          <w:szCs w:val="20"/>
        </w:rPr>
        <w:t xml:space="preserve">; and 3) Shall establish a governance model for the consortium-fiscal resources shall be determined exclusively by CCD’s participating in the consortium </w:t>
      </w:r>
      <w:r w:rsidR="006B08B2" w:rsidRPr="007728FB">
        <w:rPr>
          <w:rFonts w:asciiTheme="majorHAnsi" w:hAnsiTheme="majorHAnsi"/>
          <w:i/>
          <w:sz w:val="20"/>
          <w:szCs w:val="20"/>
        </w:rPr>
        <w:t>[EC§88823(b)(2)].</w:t>
      </w:r>
    </w:p>
    <w:p w:rsidR="006B08B2" w:rsidRPr="007728FB" w:rsidRDefault="006B08B2" w:rsidP="002A74D8">
      <w:pPr>
        <w:spacing w:before="180"/>
        <w:rPr>
          <w:rFonts w:asciiTheme="majorHAnsi" w:hAnsiTheme="majorHAnsi"/>
          <w:b/>
          <w:color w:val="538135" w:themeColor="accent6" w:themeShade="BF"/>
          <w:sz w:val="28"/>
          <w:szCs w:val="28"/>
        </w:rPr>
      </w:pPr>
      <w:r w:rsidRPr="007728FB">
        <w:rPr>
          <w:rFonts w:asciiTheme="majorHAnsi" w:hAnsiTheme="majorHAnsi"/>
          <w:b/>
          <w:color w:val="538135" w:themeColor="accent6" w:themeShade="BF"/>
          <w:sz w:val="28"/>
          <w:szCs w:val="28"/>
        </w:rPr>
        <w:t>Plan Requirements: Plans for Local or Regional Share Funding Shall Address:</w:t>
      </w:r>
    </w:p>
    <w:p w:rsidR="006B08B2" w:rsidRPr="007728FB" w:rsidRDefault="006B08B2" w:rsidP="006B08B2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</w:rPr>
        <w:t>Increasing</w:t>
      </w:r>
      <w:r w:rsidR="006F4354" w:rsidRPr="007728FB">
        <w:rPr>
          <w:rFonts w:asciiTheme="majorHAnsi" w:hAnsiTheme="majorHAnsi"/>
          <w:b/>
          <w:sz w:val="24"/>
          <w:szCs w:val="24"/>
        </w:rPr>
        <w:t xml:space="preserve"> number of students in quality CTE courses/programs/pathways (CCP’s) to achieve successful workforce outcomes</w:t>
      </w:r>
      <w:r w:rsidRPr="007728FB">
        <w:rPr>
          <w:rFonts w:asciiTheme="majorHAnsi" w:hAnsiTheme="majorHAnsi"/>
          <w:sz w:val="24"/>
          <w:szCs w:val="24"/>
        </w:rPr>
        <w:t xml:space="preserve"> </w:t>
      </w:r>
      <w:r w:rsidRPr="007728FB">
        <w:rPr>
          <w:rFonts w:asciiTheme="majorHAnsi" w:hAnsiTheme="majorHAnsi"/>
          <w:i/>
          <w:sz w:val="20"/>
          <w:szCs w:val="20"/>
        </w:rPr>
        <w:t>[EC§</w:t>
      </w:r>
      <w:r w:rsidR="006F4354" w:rsidRPr="007728FB">
        <w:rPr>
          <w:rFonts w:asciiTheme="majorHAnsi" w:hAnsiTheme="majorHAnsi"/>
          <w:i/>
          <w:sz w:val="20"/>
          <w:szCs w:val="20"/>
        </w:rPr>
        <w:t>88824(d)(5</w:t>
      </w:r>
      <w:r w:rsidRPr="007728FB">
        <w:rPr>
          <w:rFonts w:asciiTheme="majorHAnsi" w:hAnsiTheme="majorHAnsi"/>
          <w:i/>
          <w:sz w:val="20"/>
          <w:szCs w:val="20"/>
        </w:rPr>
        <w:t>)</w:t>
      </w:r>
      <w:r w:rsidR="006F4354" w:rsidRPr="007728FB">
        <w:rPr>
          <w:rFonts w:asciiTheme="majorHAnsi" w:hAnsiTheme="majorHAnsi"/>
          <w:i/>
          <w:sz w:val="20"/>
          <w:szCs w:val="20"/>
        </w:rPr>
        <w:t>(A)]</w:t>
      </w:r>
      <w:r w:rsidRPr="007728FB">
        <w:rPr>
          <w:rFonts w:asciiTheme="majorHAnsi" w:hAnsiTheme="majorHAnsi"/>
          <w:sz w:val="20"/>
          <w:szCs w:val="20"/>
        </w:rPr>
        <w:t>.</w:t>
      </w:r>
    </w:p>
    <w:p w:rsidR="006F4354" w:rsidRPr="007728FB" w:rsidRDefault="006F4354" w:rsidP="006B08B2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</w:rPr>
        <w:t xml:space="preserve">Increase number of quality CTE CPP’s or invest in new/emerging CTE CPP’s to become operative in future years and are likely to lead to successful workforce outcomes </w:t>
      </w:r>
      <w:r w:rsidRPr="007728FB">
        <w:rPr>
          <w:rFonts w:asciiTheme="majorHAnsi" w:hAnsiTheme="majorHAnsi"/>
          <w:i/>
          <w:sz w:val="20"/>
          <w:szCs w:val="20"/>
        </w:rPr>
        <w:t>[EC§88824(d)(5)(B)]</w:t>
      </w:r>
      <w:r w:rsidRPr="007728FB">
        <w:rPr>
          <w:rFonts w:asciiTheme="majorHAnsi" w:hAnsiTheme="majorHAnsi"/>
          <w:sz w:val="20"/>
          <w:szCs w:val="20"/>
        </w:rPr>
        <w:t>.</w:t>
      </w:r>
    </w:p>
    <w:p w:rsidR="006F4354" w:rsidRPr="007728FB" w:rsidRDefault="006F4354" w:rsidP="006F4354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</w:rPr>
        <w:t xml:space="preserve">Address recommendations of SWP Task Force, including recommended provision of student services related to career exploration, job readiness, placement, and WBL </w:t>
      </w:r>
      <w:r w:rsidRPr="007728FB">
        <w:rPr>
          <w:rFonts w:asciiTheme="majorHAnsi" w:hAnsiTheme="majorHAnsi"/>
          <w:i/>
          <w:sz w:val="20"/>
          <w:szCs w:val="20"/>
        </w:rPr>
        <w:t>[EC§88824(d)(5)(C)]</w:t>
      </w:r>
      <w:r w:rsidRPr="007728FB">
        <w:rPr>
          <w:rFonts w:asciiTheme="majorHAnsi" w:hAnsiTheme="majorHAnsi"/>
          <w:sz w:val="20"/>
          <w:szCs w:val="20"/>
        </w:rPr>
        <w:t>.</w:t>
      </w:r>
    </w:p>
    <w:p w:rsidR="006F4354" w:rsidRPr="007728FB" w:rsidRDefault="00B07431" w:rsidP="006F4354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</w:rPr>
        <w:t xml:space="preserve">Local </w:t>
      </w:r>
      <w:r w:rsidR="007728FB">
        <w:rPr>
          <w:rFonts w:asciiTheme="majorHAnsi" w:hAnsiTheme="majorHAnsi"/>
          <w:b/>
          <w:sz w:val="24"/>
          <w:szCs w:val="24"/>
        </w:rPr>
        <w:t>Investment Plan Requirements</w:t>
      </w:r>
      <w:r w:rsidRPr="007728FB">
        <w:rPr>
          <w:rFonts w:asciiTheme="majorHAnsi" w:hAnsiTheme="majorHAnsi"/>
          <w:b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>Evidence of demand for workers for investments in programs or across multiple programs for geographies, occupations, identify gaps and LMI sources</w:t>
      </w:r>
      <w:r w:rsidR="006F4354" w:rsidRPr="007728FB">
        <w:rPr>
          <w:rFonts w:asciiTheme="majorHAnsi" w:hAnsiTheme="majorHAnsi"/>
          <w:sz w:val="20"/>
          <w:szCs w:val="20"/>
        </w:rPr>
        <w:t>.</w:t>
      </w:r>
    </w:p>
    <w:p w:rsidR="00B07431" w:rsidRPr="007728FB" w:rsidRDefault="00B07431" w:rsidP="00B07431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  <w:b/>
          <w:sz w:val="24"/>
          <w:szCs w:val="24"/>
        </w:rPr>
      </w:pPr>
      <w:r w:rsidRPr="007728FB">
        <w:rPr>
          <w:rFonts w:asciiTheme="majorHAnsi" w:hAnsiTheme="majorHAnsi"/>
          <w:b/>
          <w:sz w:val="24"/>
          <w:szCs w:val="24"/>
        </w:rPr>
        <w:t xml:space="preserve">Regional Investment </w:t>
      </w:r>
      <w:r w:rsidR="007728FB">
        <w:rPr>
          <w:rFonts w:asciiTheme="majorHAnsi" w:hAnsiTheme="majorHAnsi"/>
          <w:b/>
          <w:sz w:val="24"/>
          <w:szCs w:val="24"/>
        </w:rPr>
        <w:t xml:space="preserve">Plan Requirements: </w:t>
      </w:r>
      <w:r w:rsidRPr="007728FB">
        <w:rPr>
          <w:rFonts w:asciiTheme="majorHAnsi" w:hAnsiTheme="majorHAnsi"/>
          <w:i/>
          <w:sz w:val="20"/>
          <w:szCs w:val="20"/>
        </w:rPr>
        <w:t>[EC§</w:t>
      </w:r>
      <w:r w:rsidR="002A74D8" w:rsidRPr="007728FB">
        <w:rPr>
          <w:rFonts w:asciiTheme="majorHAnsi" w:hAnsiTheme="majorHAnsi"/>
          <w:i/>
          <w:sz w:val="20"/>
          <w:szCs w:val="20"/>
        </w:rPr>
        <w:t>88823(b</w:t>
      </w:r>
      <w:r w:rsidRPr="007728FB">
        <w:rPr>
          <w:rFonts w:asciiTheme="majorHAnsi" w:hAnsiTheme="majorHAnsi"/>
          <w:i/>
          <w:sz w:val="20"/>
          <w:szCs w:val="20"/>
        </w:rPr>
        <w:t>)(5)(</w:t>
      </w:r>
      <w:r w:rsidR="002A74D8" w:rsidRPr="007728FB">
        <w:rPr>
          <w:rFonts w:asciiTheme="majorHAnsi" w:hAnsiTheme="majorHAnsi"/>
          <w:i/>
          <w:sz w:val="20"/>
          <w:szCs w:val="20"/>
        </w:rPr>
        <w:t>3-7</w:t>
      </w:r>
      <w:r w:rsidRPr="007728FB">
        <w:rPr>
          <w:rFonts w:asciiTheme="majorHAnsi" w:hAnsiTheme="majorHAnsi"/>
          <w:i/>
          <w:sz w:val="20"/>
          <w:szCs w:val="20"/>
        </w:rPr>
        <w:t>)]</w:t>
      </w:r>
      <w:r w:rsidRPr="007728FB">
        <w:rPr>
          <w:rFonts w:asciiTheme="majorHAnsi" w:hAnsiTheme="majorHAnsi"/>
          <w:b/>
          <w:sz w:val="24"/>
          <w:szCs w:val="24"/>
        </w:rPr>
        <w:t xml:space="preserve">: </w:t>
      </w:r>
      <w:r w:rsidRPr="007728FB">
        <w:rPr>
          <w:rFonts w:asciiTheme="majorHAnsi" w:hAnsiTheme="majorHAnsi"/>
          <w:sz w:val="20"/>
          <w:szCs w:val="20"/>
        </w:rPr>
        <w:t>1) Summary of Local Share Investment by Sector; 2) Regional/Sub Regional Labor Market Information; 3) Supply and Demand w Living Wage Occupations; 4) Other Establishing Questions/Agenda for Regional Planning; 5) Changes in Priority and Emergent Sectors; 6) What More Must Be Done for Students to Move Through the Region’s Career Pathways in Sectors?; 7) How Job Placement, Internships, and Regional Industry Engagement will be Coordinated; 8) How Industry</w:t>
      </w:r>
      <w:r w:rsidR="002A74D8" w:rsidRPr="007728FB">
        <w:rPr>
          <w:rFonts w:asciiTheme="majorHAnsi" w:hAnsiTheme="majorHAnsi"/>
          <w:sz w:val="20"/>
          <w:szCs w:val="20"/>
        </w:rPr>
        <w:t xml:space="preserve"> Can Inform and Invest in CTE.</w:t>
      </w:r>
    </w:p>
    <w:p w:rsidR="00AE682F" w:rsidRPr="007728FB" w:rsidRDefault="002A74D8" w:rsidP="00F91DC7">
      <w:pPr>
        <w:pStyle w:val="ListParagraph"/>
        <w:numPr>
          <w:ilvl w:val="0"/>
          <w:numId w:val="1"/>
        </w:numPr>
        <w:ind w:left="630" w:hanging="270"/>
        <w:rPr>
          <w:rFonts w:asciiTheme="majorHAnsi" w:hAnsiTheme="majorHAnsi"/>
        </w:rPr>
      </w:pPr>
      <w:r w:rsidRPr="007728FB">
        <w:rPr>
          <w:rFonts w:asciiTheme="majorHAnsi" w:hAnsiTheme="majorHAnsi"/>
          <w:b/>
          <w:sz w:val="24"/>
          <w:szCs w:val="24"/>
        </w:rPr>
        <w:t xml:space="preserve">Regional Plan Reflects Strategies to Utilize Available Public and Private Resources to Better Align CTE CPP’s with the Needs of Their Regional Economies </w:t>
      </w:r>
      <w:r w:rsidRPr="007728FB">
        <w:rPr>
          <w:rFonts w:asciiTheme="majorHAnsi" w:hAnsiTheme="majorHAnsi"/>
          <w:i/>
          <w:sz w:val="20"/>
          <w:szCs w:val="20"/>
        </w:rPr>
        <w:t>[EC§88823(h]]</w:t>
      </w:r>
    </w:p>
    <w:sectPr w:rsidR="00AE682F" w:rsidRPr="007728FB" w:rsidSect="002A74D8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C5" w:rsidRDefault="000737C5" w:rsidP="002A74D8">
      <w:pPr>
        <w:spacing w:before="0" w:line="240" w:lineRule="auto"/>
      </w:pPr>
      <w:r>
        <w:separator/>
      </w:r>
    </w:p>
  </w:endnote>
  <w:endnote w:type="continuationSeparator" w:id="0">
    <w:p w:rsidR="000737C5" w:rsidRDefault="000737C5" w:rsidP="002A74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C5" w:rsidRDefault="000737C5" w:rsidP="002A74D8">
      <w:pPr>
        <w:spacing w:before="0" w:line="240" w:lineRule="auto"/>
      </w:pPr>
      <w:r>
        <w:separator/>
      </w:r>
    </w:p>
  </w:footnote>
  <w:footnote w:type="continuationSeparator" w:id="0">
    <w:p w:rsidR="000737C5" w:rsidRDefault="000737C5" w:rsidP="002A74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468C5"/>
    <w:multiLevelType w:val="hybridMultilevel"/>
    <w:tmpl w:val="40BE3E48"/>
    <w:lvl w:ilvl="0" w:tplc="001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37060"/>
    <w:multiLevelType w:val="hybridMultilevel"/>
    <w:tmpl w:val="AA028DEE"/>
    <w:lvl w:ilvl="0" w:tplc="6D92035E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color w:val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255467F"/>
    <w:multiLevelType w:val="hybridMultilevel"/>
    <w:tmpl w:val="758052DA"/>
    <w:lvl w:ilvl="0" w:tplc="00145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2F"/>
    <w:rsid w:val="000737C5"/>
    <w:rsid w:val="001245BE"/>
    <w:rsid w:val="002A74D8"/>
    <w:rsid w:val="00462330"/>
    <w:rsid w:val="00603E5C"/>
    <w:rsid w:val="006B08B2"/>
    <w:rsid w:val="006B0A4C"/>
    <w:rsid w:val="006B47F9"/>
    <w:rsid w:val="006F4354"/>
    <w:rsid w:val="007728FB"/>
    <w:rsid w:val="007853E6"/>
    <w:rsid w:val="0079434C"/>
    <w:rsid w:val="00985482"/>
    <w:rsid w:val="00A1719E"/>
    <w:rsid w:val="00A94118"/>
    <w:rsid w:val="00AE682F"/>
    <w:rsid w:val="00B07431"/>
    <w:rsid w:val="00F54C37"/>
    <w:rsid w:val="00F7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344F7-455D-404B-9A3E-AD75B342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5B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74D8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4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74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8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71FA6-1592-4153-9AAE-22B82900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 Tillery</dc:creator>
  <cp:keywords/>
  <dc:description/>
  <cp:lastModifiedBy>Abigail Duldulao</cp:lastModifiedBy>
  <cp:revision>2</cp:revision>
  <cp:lastPrinted>2016-10-05T19:04:00Z</cp:lastPrinted>
  <dcterms:created xsi:type="dcterms:W3CDTF">2016-10-31T21:26:00Z</dcterms:created>
  <dcterms:modified xsi:type="dcterms:W3CDTF">2016-10-31T21:26:00Z</dcterms:modified>
</cp:coreProperties>
</file>