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163" w:rsidRDefault="00AD1163">
      <w:pPr>
        <w:tabs>
          <w:tab w:val="right" w:pos="9792"/>
        </w:tabs>
        <w:rPr>
          <w:b/>
          <w:sz w:val="18"/>
        </w:rPr>
      </w:pPr>
      <w:bookmarkStart w:id="0" w:name="_GoBack"/>
      <w:bookmarkEnd w:id="0"/>
      <w:r>
        <w:rPr>
          <w:sz w:val="16"/>
        </w:rPr>
        <w:t>Contra Costa Community College District</w:t>
      </w:r>
      <w:r>
        <w:rPr>
          <w:sz w:val="16"/>
        </w:rPr>
        <w:tab/>
      </w:r>
      <w:r>
        <w:rPr>
          <w:b/>
          <w:sz w:val="18"/>
        </w:rPr>
        <w:t>AGENDA ITEM</w:t>
      </w:r>
    </w:p>
    <w:p w:rsidR="00AD1163" w:rsidRDefault="00AD1163">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pPr>
      <w:r>
        <w:rPr>
          <w:b/>
          <w:sz w:val="18"/>
        </w:rPr>
        <w:t>GOVERNING BOARD MEETING</w:t>
      </w:r>
    </w:p>
    <w:p w:rsidR="00956C10" w:rsidRDefault="00956C10">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ind w:left="1442" w:hanging="1442"/>
      </w:pPr>
    </w:p>
    <w:p w:rsidR="00956C10" w:rsidRDefault="00956C10">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ind w:left="1442" w:hanging="1442"/>
      </w:pPr>
    </w:p>
    <w:p w:rsidR="00956C10" w:rsidRPr="00956C10" w:rsidRDefault="00956C10" w:rsidP="00956C10">
      <w:pPr>
        <w:tabs>
          <w:tab w:val="left" w:pos="-1440"/>
          <w:tab w:val="left" w:pos="-720"/>
          <w:tab w:val="left" w:pos="0"/>
          <w:tab w:val="right" w:pos="9792"/>
        </w:tabs>
        <w:ind w:left="1442" w:hanging="1442"/>
        <w:rPr>
          <w:b/>
          <w:sz w:val="36"/>
          <w:szCs w:val="36"/>
        </w:rPr>
      </w:pPr>
    </w:p>
    <w:p w:rsidR="00956C10" w:rsidRPr="000C76C5" w:rsidRDefault="00956C10">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ind w:left="1442" w:hanging="1442"/>
        <w:rPr>
          <w:sz w:val="22"/>
          <w:szCs w:val="22"/>
        </w:rPr>
      </w:pPr>
    </w:p>
    <w:p w:rsidR="00D96CD7" w:rsidRPr="000C76C5" w:rsidRDefault="00D96CD7">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ind w:left="1442" w:hanging="1442"/>
        <w:rPr>
          <w:sz w:val="22"/>
          <w:szCs w:val="22"/>
        </w:rPr>
      </w:pPr>
    </w:p>
    <w:p w:rsidR="00AD1163" w:rsidRPr="001651D3" w:rsidRDefault="006E648B" w:rsidP="001651D3">
      <w:pPr>
        <w:tabs>
          <w:tab w:val="right" w:pos="-1440"/>
          <w:tab w:val="left" w:pos="-720"/>
          <w:tab w:val="left" w:pos="0"/>
          <w:tab w:val="left" w:pos="721"/>
          <w:tab w:val="left" w:pos="1442"/>
          <w:tab w:val="left" w:pos="2160"/>
          <w:tab w:val="left" w:pos="2250"/>
          <w:tab w:val="left" w:pos="2340"/>
          <w:tab w:val="left" w:pos="2430"/>
          <w:tab w:val="left" w:pos="7110"/>
          <w:tab w:val="left" w:pos="9375"/>
        </w:tabs>
        <w:ind w:left="1442" w:hanging="1442"/>
        <w:rPr>
          <w:sz w:val="22"/>
          <w:szCs w:val="22"/>
        </w:rPr>
      </w:pPr>
      <w:r>
        <w:rPr>
          <w:b/>
          <w:sz w:val="22"/>
          <w:szCs w:val="22"/>
        </w:rPr>
        <w:t xml:space="preserve">AGENDA ITEM  </w:t>
      </w:r>
      <w:r w:rsidR="001651D3">
        <w:rPr>
          <w:b/>
          <w:sz w:val="22"/>
          <w:szCs w:val="22"/>
        </w:rPr>
        <w:tab/>
      </w:r>
      <w:r w:rsidR="001651D3">
        <w:rPr>
          <w:b/>
          <w:sz w:val="22"/>
          <w:szCs w:val="22"/>
        </w:rPr>
        <w:tab/>
      </w:r>
      <w:r w:rsidR="001651D3" w:rsidRPr="001651D3">
        <w:rPr>
          <w:sz w:val="22"/>
          <w:szCs w:val="22"/>
        </w:rPr>
        <w:t>B</w:t>
      </w:r>
      <w:r w:rsidRPr="001651D3">
        <w:rPr>
          <w:sz w:val="22"/>
          <w:szCs w:val="22"/>
        </w:rPr>
        <w:tab/>
      </w:r>
      <w:r w:rsidR="001651D3">
        <w:rPr>
          <w:sz w:val="22"/>
          <w:szCs w:val="22"/>
        </w:rPr>
        <w:tab/>
      </w:r>
      <w:proofErr w:type="gramStart"/>
      <w:r w:rsidR="00AD1163" w:rsidRPr="000C76C5">
        <w:rPr>
          <w:b/>
          <w:sz w:val="22"/>
          <w:szCs w:val="22"/>
        </w:rPr>
        <w:t>DATE</w:t>
      </w:r>
      <w:r>
        <w:rPr>
          <w:b/>
          <w:sz w:val="22"/>
          <w:szCs w:val="22"/>
        </w:rPr>
        <w:t xml:space="preserve"> </w:t>
      </w:r>
      <w:r w:rsidR="00EC4F89">
        <w:rPr>
          <w:b/>
          <w:sz w:val="22"/>
          <w:szCs w:val="22"/>
        </w:rPr>
        <w:t xml:space="preserve"> </w:t>
      </w:r>
      <w:r w:rsidR="001651D3" w:rsidRPr="001651D3">
        <w:rPr>
          <w:sz w:val="22"/>
          <w:szCs w:val="22"/>
        </w:rPr>
        <w:t>December</w:t>
      </w:r>
      <w:proofErr w:type="gramEnd"/>
      <w:r w:rsidR="001651D3" w:rsidRPr="001651D3">
        <w:rPr>
          <w:sz w:val="22"/>
          <w:szCs w:val="22"/>
        </w:rPr>
        <w:t xml:space="preserve"> 9, 2015</w:t>
      </w:r>
    </w:p>
    <w:p w:rsidR="00956C10" w:rsidRPr="000C76C5" w:rsidRDefault="00956C10">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ind w:left="1442" w:hanging="1442"/>
        <w:rPr>
          <w:sz w:val="22"/>
          <w:szCs w:val="22"/>
        </w:rPr>
      </w:pPr>
    </w:p>
    <w:p w:rsidR="00AD1163" w:rsidRPr="000C76C5" w:rsidRDefault="00AD1163">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ind w:left="1442" w:hanging="1442"/>
        <w:rPr>
          <w:sz w:val="22"/>
          <w:szCs w:val="22"/>
        </w:rPr>
      </w:pPr>
      <w:r w:rsidRPr="000C76C5">
        <w:rPr>
          <w:b/>
          <w:sz w:val="22"/>
          <w:szCs w:val="22"/>
        </w:rPr>
        <w:t>PURPOSE</w:t>
      </w:r>
      <w:r w:rsidRPr="000C76C5">
        <w:rPr>
          <w:sz w:val="22"/>
          <w:szCs w:val="22"/>
        </w:rPr>
        <w:tab/>
      </w:r>
      <w:bookmarkStart w:id="1" w:name="Title"/>
      <w:r w:rsidR="001651D3">
        <w:rPr>
          <w:sz w:val="22"/>
          <w:szCs w:val="22"/>
        </w:rPr>
        <w:tab/>
      </w:r>
      <w:r w:rsidR="00CC098B">
        <w:rPr>
          <w:sz w:val="22"/>
          <w:szCs w:val="22"/>
        </w:rPr>
        <w:t xml:space="preserve">  </w:t>
      </w:r>
      <w:r w:rsidR="001651D3">
        <w:rPr>
          <w:sz w:val="22"/>
          <w:szCs w:val="22"/>
        </w:rPr>
        <w:t>Educational Planning Report</w:t>
      </w:r>
      <w:r w:rsidR="008850B7" w:rsidRPr="000C76C5">
        <w:rPr>
          <w:sz w:val="22"/>
          <w:szCs w:val="22"/>
        </w:rPr>
        <w:t xml:space="preserve"> </w:t>
      </w:r>
      <w:bookmarkEnd w:id="1"/>
    </w:p>
    <w:p w:rsidR="00956C10" w:rsidRPr="000C76C5" w:rsidRDefault="00956C10">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rPr>
          <w:sz w:val="22"/>
          <w:szCs w:val="22"/>
        </w:rPr>
      </w:pPr>
    </w:p>
    <w:p w:rsidR="001651D3" w:rsidRDefault="00956C10" w:rsidP="001651D3">
      <w:pPr>
        <w:widowControl/>
        <w:autoSpaceDE w:val="0"/>
        <w:autoSpaceDN w:val="0"/>
        <w:adjustRightInd w:val="0"/>
        <w:rPr>
          <w:rFonts w:cs="Arial"/>
          <w:snapToGrid/>
          <w:sz w:val="23"/>
          <w:szCs w:val="23"/>
        </w:rPr>
      </w:pPr>
      <w:r w:rsidRPr="000C76C5">
        <w:rPr>
          <w:sz w:val="22"/>
          <w:szCs w:val="22"/>
        </w:rPr>
        <w:tab/>
      </w:r>
      <w:r w:rsidR="001651D3">
        <w:rPr>
          <w:rFonts w:cs="Arial"/>
          <w:snapToGrid/>
          <w:sz w:val="23"/>
          <w:szCs w:val="23"/>
        </w:rPr>
        <w:t>The review and evaluation of educational programs and their continuous improvement are ongoing activities, as required by Title V, Board Policy 4008 and Curriculum and Instruction</w:t>
      </w:r>
    </w:p>
    <w:p w:rsidR="001651D3" w:rsidRDefault="001651D3" w:rsidP="001651D3">
      <w:pPr>
        <w:widowControl/>
        <w:autoSpaceDE w:val="0"/>
        <w:autoSpaceDN w:val="0"/>
        <w:adjustRightInd w:val="0"/>
        <w:rPr>
          <w:rFonts w:cs="Arial"/>
          <w:snapToGrid/>
          <w:sz w:val="23"/>
          <w:szCs w:val="23"/>
        </w:rPr>
      </w:pPr>
      <w:r>
        <w:rPr>
          <w:rFonts w:cs="Arial"/>
          <w:snapToGrid/>
          <w:sz w:val="23"/>
          <w:szCs w:val="23"/>
        </w:rPr>
        <w:t>Procedure 4008. To that end, the District Educational Planning Committee meets annually to</w:t>
      </w:r>
    </w:p>
    <w:p w:rsidR="001651D3" w:rsidRDefault="001651D3" w:rsidP="001651D3">
      <w:pPr>
        <w:widowControl/>
        <w:autoSpaceDE w:val="0"/>
        <w:autoSpaceDN w:val="0"/>
        <w:adjustRightInd w:val="0"/>
        <w:rPr>
          <w:rFonts w:cs="Arial"/>
          <w:snapToGrid/>
          <w:sz w:val="23"/>
          <w:szCs w:val="23"/>
        </w:rPr>
      </w:pPr>
      <w:proofErr w:type="gramStart"/>
      <w:r>
        <w:rPr>
          <w:rFonts w:cs="Arial"/>
          <w:snapToGrid/>
          <w:sz w:val="23"/>
          <w:szCs w:val="23"/>
        </w:rPr>
        <w:t>discuss</w:t>
      </w:r>
      <w:proofErr w:type="gramEnd"/>
      <w:r>
        <w:rPr>
          <w:rFonts w:cs="Arial"/>
          <w:snapToGrid/>
          <w:sz w:val="23"/>
          <w:szCs w:val="23"/>
        </w:rPr>
        <w:t xml:space="preserve"> the review, establishment, modification, and discontinuance of programs for each of the</w:t>
      </w:r>
    </w:p>
    <w:p w:rsidR="001651D3" w:rsidRDefault="001651D3" w:rsidP="001651D3">
      <w:pPr>
        <w:widowControl/>
        <w:autoSpaceDE w:val="0"/>
        <w:autoSpaceDN w:val="0"/>
        <w:adjustRightInd w:val="0"/>
        <w:rPr>
          <w:rFonts w:cs="Arial"/>
          <w:snapToGrid/>
          <w:sz w:val="23"/>
          <w:szCs w:val="23"/>
        </w:rPr>
      </w:pPr>
      <w:proofErr w:type="gramStart"/>
      <w:r>
        <w:rPr>
          <w:rFonts w:cs="Arial"/>
          <w:snapToGrid/>
          <w:sz w:val="23"/>
          <w:szCs w:val="23"/>
        </w:rPr>
        <w:t>colleges</w:t>
      </w:r>
      <w:proofErr w:type="gramEnd"/>
      <w:r>
        <w:rPr>
          <w:rFonts w:cs="Arial"/>
          <w:snapToGrid/>
          <w:sz w:val="23"/>
          <w:szCs w:val="23"/>
        </w:rPr>
        <w:t>. The colleges also provide a status report on their program review and student learning</w:t>
      </w:r>
    </w:p>
    <w:p w:rsidR="001651D3" w:rsidRDefault="001651D3" w:rsidP="001651D3">
      <w:pPr>
        <w:widowControl/>
        <w:autoSpaceDE w:val="0"/>
        <w:autoSpaceDN w:val="0"/>
        <w:adjustRightInd w:val="0"/>
        <w:rPr>
          <w:rFonts w:cs="Arial"/>
          <w:snapToGrid/>
          <w:sz w:val="23"/>
          <w:szCs w:val="23"/>
        </w:rPr>
      </w:pPr>
      <w:proofErr w:type="gramStart"/>
      <w:r>
        <w:rPr>
          <w:rFonts w:cs="Arial"/>
          <w:snapToGrid/>
          <w:sz w:val="23"/>
          <w:szCs w:val="23"/>
        </w:rPr>
        <w:t>outcome</w:t>
      </w:r>
      <w:proofErr w:type="gramEnd"/>
      <w:r>
        <w:rPr>
          <w:rFonts w:cs="Arial"/>
          <w:snapToGrid/>
          <w:sz w:val="23"/>
          <w:szCs w:val="23"/>
        </w:rPr>
        <w:t xml:space="preserve"> activities. The meeting for this year was held on </w:t>
      </w:r>
      <w:r w:rsidR="00FF35CE">
        <w:rPr>
          <w:rFonts w:cs="Arial"/>
          <w:snapToGrid/>
          <w:sz w:val="23"/>
          <w:szCs w:val="23"/>
        </w:rPr>
        <w:t>November 10</w:t>
      </w:r>
      <w:r w:rsidRPr="00FF35CE">
        <w:rPr>
          <w:rFonts w:cs="Arial"/>
          <w:snapToGrid/>
          <w:sz w:val="23"/>
          <w:szCs w:val="23"/>
        </w:rPr>
        <w:t>, 201</w:t>
      </w:r>
      <w:r w:rsidR="00FF35CE">
        <w:rPr>
          <w:rFonts w:cs="Arial"/>
          <w:snapToGrid/>
          <w:sz w:val="23"/>
          <w:szCs w:val="23"/>
        </w:rPr>
        <w:t>5</w:t>
      </w:r>
      <w:r w:rsidRPr="00FF35CE">
        <w:rPr>
          <w:rFonts w:cs="Arial"/>
          <w:snapToGrid/>
          <w:sz w:val="23"/>
          <w:szCs w:val="23"/>
        </w:rPr>
        <w:t>.</w:t>
      </w:r>
    </w:p>
    <w:p w:rsidR="001651D3" w:rsidRDefault="001651D3" w:rsidP="001651D3">
      <w:pPr>
        <w:widowControl/>
        <w:autoSpaceDE w:val="0"/>
        <w:autoSpaceDN w:val="0"/>
        <w:adjustRightInd w:val="0"/>
        <w:rPr>
          <w:rFonts w:cs="Arial"/>
          <w:snapToGrid/>
          <w:sz w:val="23"/>
          <w:szCs w:val="23"/>
        </w:rPr>
      </w:pPr>
    </w:p>
    <w:p w:rsidR="00BE423E" w:rsidRPr="00AB04A2" w:rsidRDefault="001651D3" w:rsidP="00AB04A2">
      <w:pPr>
        <w:widowControl/>
        <w:autoSpaceDE w:val="0"/>
        <w:autoSpaceDN w:val="0"/>
        <w:adjustRightInd w:val="0"/>
        <w:rPr>
          <w:sz w:val="22"/>
          <w:szCs w:val="22"/>
        </w:rPr>
      </w:pPr>
      <w:r>
        <w:rPr>
          <w:rFonts w:cs="Arial"/>
          <w:snapToGrid/>
          <w:sz w:val="23"/>
          <w:szCs w:val="23"/>
        </w:rPr>
        <w:tab/>
      </w:r>
      <w:r w:rsidR="00BE423E" w:rsidRPr="00AB04A2">
        <w:rPr>
          <w:rFonts w:cs="Arial"/>
          <w:sz w:val="22"/>
          <w:szCs w:val="22"/>
        </w:rPr>
        <w:t>Typically, a four</w:t>
      </w:r>
      <w:r w:rsidR="00AB04A2">
        <w:rPr>
          <w:rFonts w:cs="Arial"/>
          <w:sz w:val="22"/>
          <w:szCs w:val="22"/>
        </w:rPr>
        <w:t>- or five-</w:t>
      </w:r>
      <w:r w:rsidR="00BE423E" w:rsidRPr="00AB04A2">
        <w:rPr>
          <w:rFonts w:cs="Arial"/>
          <w:sz w:val="22"/>
          <w:szCs w:val="22"/>
        </w:rPr>
        <w:t xml:space="preserve"> year </w:t>
      </w:r>
      <w:r w:rsidR="00BE423E" w:rsidRPr="00AB04A2">
        <w:rPr>
          <w:sz w:val="22"/>
          <w:szCs w:val="22"/>
        </w:rPr>
        <w:t xml:space="preserve">comprehensive program review cycle of all college instructional, student services and administrative programs is conducted. Both academic transfer and </w:t>
      </w:r>
      <w:r w:rsidR="00AB04A2">
        <w:rPr>
          <w:sz w:val="22"/>
          <w:szCs w:val="22"/>
        </w:rPr>
        <w:t>career technical;</w:t>
      </w:r>
      <w:r w:rsidR="00BE423E" w:rsidRPr="00AB04A2">
        <w:rPr>
          <w:sz w:val="22"/>
          <w:szCs w:val="22"/>
        </w:rPr>
        <w:t xml:space="preserve"> programs are involved which provides for an update of all course outlines as required by regulatory and statutory requirements. Faculty, staff and students are routinely integrated into the review process in a number of roles and decision points in the process. Various structures to i</w:t>
      </w:r>
      <w:r w:rsidR="002C5110">
        <w:rPr>
          <w:sz w:val="22"/>
          <w:szCs w:val="22"/>
        </w:rPr>
        <w:t>nclude taskforces, constituency-</w:t>
      </w:r>
      <w:r w:rsidR="00BE423E" w:rsidRPr="00AB04A2">
        <w:rPr>
          <w:sz w:val="22"/>
          <w:szCs w:val="22"/>
        </w:rPr>
        <w:t>based validation teams, faculty senates, planning committees and president</w:t>
      </w:r>
      <w:r w:rsidR="002C5110">
        <w:rPr>
          <w:sz w:val="22"/>
          <w:szCs w:val="22"/>
        </w:rPr>
        <w:t>s’</w:t>
      </w:r>
      <w:r w:rsidR="00BE423E" w:rsidRPr="00AB04A2">
        <w:rPr>
          <w:sz w:val="22"/>
          <w:szCs w:val="22"/>
        </w:rPr>
        <w:t xml:space="preserve"> cabinet</w:t>
      </w:r>
      <w:r w:rsidR="002C5110">
        <w:rPr>
          <w:sz w:val="22"/>
          <w:szCs w:val="22"/>
        </w:rPr>
        <w:t>s</w:t>
      </w:r>
      <w:r w:rsidR="00BE423E" w:rsidRPr="00AB04A2">
        <w:rPr>
          <w:sz w:val="22"/>
          <w:szCs w:val="22"/>
        </w:rPr>
        <w:t xml:space="preserve"> are involved in the reviews and vetting process.</w:t>
      </w:r>
    </w:p>
    <w:p w:rsidR="00BE423E" w:rsidRPr="00AB04A2" w:rsidRDefault="00BE423E" w:rsidP="00BE423E">
      <w:pPr>
        <w:jc w:val="both"/>
        <w:rPr>
          <w:sz w:val="22"/>
          <w:szCs w:val="22"/>
        </w:rPr>
      </w:pPr>
    </w:p>
    <w:p w:rsidR="00C1254B" w:rsidRDefault="00AB04A2" w:rsidP="00AB04A2">
      <w:pPr>
        <w:widowControl/>
        <w:autoSpaceDE w:val="0"/>
        <w:autoSpaceDN w:val="0"/>
        <w:adjustRightInd w:val="0"/>
        <w:rPr>
          <w:rFonts w:cs="Arial"/>
          <w:snapToGrid/>
          <w:sz w:val="23"/>
          <w:szCs w:val="23"/>
        </w:rPr>
      </w:pPr>
      <w:r>
        <w:rPr>
          <w:sz w:val="22"/>
          <w:szCs w:val="22"/>
        </w:rPr>
        <w:tab/>
      </w:r>
      <w:r>
        <w:rPr>
          <w:rFonts w:cs="Arial"/>
          <w:snapToGrid/>
          <w:sz w:val="23"/>
          <w:szCs w:val="23"/>
        </w:rPr>
        <w:t xml:space="preserve">The attached Educational Planning Report is presented to the Board for information. </w:t>
      </w:r>
    </w:p>
    <w:p w:rsidR="00AB04A2" w:rsidRDefault="00AB04A2" w:rsidP="00AB04A2">
      <w:pPr>
        <w:widowControl/>
        <w:autoSpaceDE w:val="0"/>
        <w:autoSpaceDN w:val="0"/>
        <w:adjustRightInd w:val="0"/>
        <w:rPr>
          <w:rFonts w:cs="Arial"/>
          <w:snapToGrid/>
          <w:sz w:val="23"/>
          <w:szCs w:val="23"/>
        </w:rPr>
      </w:pPr>
      <w:r>
        <w:rPr>
          <w:rFonts w:cs="Arial"/>
          <w:snapToGrid/>
          <w:sz w:val="23"/>
          <w:szCs w:val="23"/>
        </w:rPr>
        <w:lastRenderedPageBreak/>
        <w:t>It</w:t>
      </w:r>
      <w:r w:rsidR="00C1254B">
        <w:rPr>
          <w:rFonts w:cs="Arial"/>
          <w:snapToGrid/>
          <w:sz w:val="23"/>
          <w:szCs w:val="23"/>
        </w:rPr>
        <w:t xml:space="preserve"> </w:t>
      </w:r>
      <w:r>
        <w:rPr>
          <w:rFonts w:cs="Arial"/>
          <w:snapToGrid/>
          <w:sz w:val="23"/>
          <w:szCs w:val="23"/>
        </w:rPr>
        <w:t>includes individual college program review information and an update on each college's progress on student learning outcomes and assessments. Also included are the current Senate Bill 1440 transfer degrees initiated at each college.  The chart below further reflects the major program elements at each college.</w:t>
      </w:r>
    </w:p>
    <w:p w:rsidR="00BE423E" w:rsidRDefault="00BE423E" w:rsidP="00BE423E">
      <w:pPr>
        <w:jc w:val="both"/>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2155"/>
        <w:gridCol w:w="2787"/>
        <w:gridCol w:w="2433"/>
      </w:tblGrid>
      <w:tr w:rsidR="00BE423E" w:rsidRPr="00AB04A2" w:rsidTr="00080F36">
        <w:tc>
          <w:tcPr>
            <w:tcW w:w="2070" w:type="dxa"/>
            <w:tcBorders>
              <w:bottom w:val="single" w:sz="4" w:space="0" w:color="auto"/>
            </w:tcBorders>
          </w:tcPr>
          <w:p w:rsidR="00BE423E" w:rsidRPr="00AB04A2" w:rsidRDefault="00BE423E" w:rsidP="00513A85">
            <w:pPr>
              <w:jc w:val="both"/>
              <w:rPr>
                <w:b/>
                <w:sz w:val="21"/>
                <w:szCs w:val="21"/>
              </w:rPr>
            </w:pPr>
            <w:r w:rsidRPr="00AB04A2">
              <w:rPr>
                <w:b/>
                <w:sz w:val="21"/>
                <w:szCs w:val="21"/>
              </w:rPr>
              <w:t>Data Element</w:t>
            </w:r>
          </w:p>
        </w:tc>
        <w:tc>
          <w:tcPr>
            <w:tcW w:w="2155" w:type="dxa"/>
            <w:tcBorders>
              <w:bottom w:val="single" w:sz="4" w:space="0" w:color="auto"/>
            </w:tcBorders>
          </w:tcPr>
          <w:p w:rsidR="00BE423E" w:rsidRPr="00AB04A2" w:rsidRDefault="00BE423E" w:rsidP="00513A85">
            <w:pPr>
              <w:jc w:val="both"/>
              <w:rPr>
                <w:b/>
                <w:sz w:val="21"/>
                <w:szCs w:val="21"/>
              </w:rPr>
            </w:pPr>
            <w:r w:rsidRPr="00AB04A2">
              <w:rPr>
                <w:b/>
                <w:sz w:val="21"/>
                <w:szCs w:val="21"/>
              </w:rPr>
              <w:t>CCC</w:t>
            </w:r>
          </w:p>
        </w:tc>
        <w:tc>
          <w:tcPr>
            <w:tcW w:w="2787" w:type="dxa"/>
            <w:tcBorders>
              <w:bottom w:val="single" w:sz="4" w:space="0" w:color="auto"/>
            </w:tcBorders>
          </w:tcPr>
          <w:p w:rsidR="00BE423E" w:rsidRPr="00AB04A2" w:rsidRDefault="00BE423E" w:rsidP="00513A85">
            <w:pPr>
              <w:jc w:val="both"/>
              <w:rPr>
                <w:b/>
                <w:sz w:val="21"/>
                <w:szCs w:val="21"/>
              </w:rPr>
            </w:pPr>
            <w:r w:rsidRPr="00AB04A2">
              <w:rPr>
                <w:b/>
                <w:sz w:val="21"/>
                <w:szCs w:val="21"/>
              </w:rPr>
              <w:t>DVC</w:t>
            </w:r>
          </w:p>
        </w:tc>
        <w:tc>
          <w:tcPr>
            <w:tcW w:w="2433" w:type="dxa"/>
            <w:tcBorders>
              <w:bottom w:val="single" w:sz="4" w:space="0" w:color="auto"/>
            </w:tcBorders>
          </w:tcPr>
          <w:p w:rsidR="00BE423E" w:rsidRPr="00AB04A2" w:rsidRDefault="00BE423E" w:rsidP="00513A85">
            <w:pPr>
              <w:jc w:val="both"/>
              <w:rPr>
                <w:b/>
                <w:sz w:val="21"/>
                <w:szCs w:val="21"/>
              </w:rPr>
            </w:pPr>
            <w:r w:rsidRPr="00AB04A2">
              <w:rPr>
                <w:b/>
                <w:sz w:val="21"/>
                <w:szCs w:val="21"/>
              </w:rPr>
              <w:t>LMC</w:t>
            </w:r>
          </w:p>
        </w:tc>
      </w:tr>
      <w:tr w:rsidR="00BE423E" w:rsidRPr="00AB04A2" w:rsidTr="00080F36">
        <w:tc>
          <w:tcPr>
            <w:tcW w:w="2070" w:type="dxa"/>
            <w:tcBorders>
              <w:top w:val="single" w:sz="4" w:space="0" w:color="auto"/>
            </w:tcBorders>
          </w:tcPr>
          <w:p w:rsidR="00BE423E" w:rsidRPr="00AB04A2" w:rsidRDefault="00BE423E" w:rsidP="00AB04A2">
            <w:pPr>
              <w:rPr>
                <w:sz w:val="21"/>
                <w:szCs w:val="21"/>
              </w:rPr>
            </w:pPr>
            <w:r w:rsidRPr="00AB04A2">
              <w:rPr>
                <w:sz w:val="21"/>
                <w:szCs w:val="21"/>
              </w:rPr>
              <w:t>Changes to Program Review</w:t>
            </w:r>
          </w:p>
        </w:tc>
        <w:tc>
          <w:tcPr>
            <w:tcW w:w="2155" w:type="dxa"/>
            <w:tcBorders>
              <w:top w:val="single" w:sz="4" w:space="0" w:color="auto"/>
            </w:tcBorders>
          </w:tcPr>
          <w:p w:rsidR="00BE423E" w:rsidRPr="00AB04A2" w:rsidRDefault="00734AEC" w:rsidP="00AB04A2">
            <w:pPr>
              <w:rPr>
                <w:sz w:val="21"/>
                <w:szCs w:val="21"/>
              </w:rPr>
            </w:pPr>
            <w:r w:rsidRPr="00AB04A2">
              <w:rPr>
                <w:sz w:val="21"/>
                <w:szCs w:val="21"/>
              </w:rPr>
              <w:t>Strengthened</w:t>
            </w:r>
            <w:r w:rsidR="00BE423E" w:rsidRPr="00AB04A2">
              <w:rPr>
                <w:sz w:val="21"/>
                <w:szCs w:val="21"/>
              </w:rPr>
              <w:t xml:space="preserve"> and streamlined</w:t>
            </w:r>
          </w:p>
        </w:tc>
        <w:tc>
          <w:tcPr>
            <w:tcW w:w="2787" w:type="dxa"/>
            <w:tcBorders>
              <w:top w:val="single" w:sz="4" w:space="0" w:color="auto"/>
            </w:tcBorders>
          </w:tcPr>
          <w:p w:rsidR="00BE423E" w:rsidRPr="00AB04A2" w:rsidRDefault="00BE423E" w:rsidP="00AB04A2">
            <w:pPr>
              <w:rPr>
                <w:sz w:val="21"/>
                <w:szCs w:val="21"/>
              </w:rPr>
            </w:pPr>
            <w:r w:rsidRPr="00AB04A2">
              <w:rPr>
                <w:sz w:val="21"/>
                <w:szCs w:val="21"/>
              </w:rPr>
              <w:t>Under review and evaluation</w:t>
            </w:r>
          </w:p>
        </w:tc>
        <w:tc>
          <w:tcPr>
            <w:tcW w:w="2433" w:type="dxa"/>
            <w:tcBorders>
              <w:top w:val="single" w:sz="4" w:space="0" w:color="auto"/>
            </w:tcBorders>
          </w:tcPr>
          <w:p w:rsidR="00BE423E" w:rsidRDefault="002C5110" w:rsidP="00AB04A2">
            <w:pPr>
              <w:rPr>
                <w:sz w:val="21"/>
                <w:szCs w:val="21"/>
              </w:rPr>
            </w:pPr>
            <w:r>
              <w:rPr>
                <w:sz w:val="21"/>
                <w:szCs w:val="21"/>
              </w:rPr>
              <w:t>New rubric developed;</w:t>
            </w:r>
            <w:r w:rsidR="000E742F" w:rsidRPr="00AB04A2">
              <w:rPr>
                <w:sz w:val="21"/>
                <w:szCs w:val="21"/>
              </w:rPr>
              <w:t xml:space="preserve"> PRST modified</w:t>
            </w:r>
          </w:p>
          <w:p w:rsidR="00080F36" w:rsidRPr="00AB04A2" w:rsidRDefault="00080F36" w:rsidP="00AB04A2">
            <w:pPr>
              <w:rPr>
                <w:sz w:val="21"/>
                <w:szCs w:val="21"/>
              </w:rPr>
            </w:pPr>
          </w:p>
        </w:tc>
      </w:tr>
      <w:tr w:rsidR="00BE423E" w:rsidRPr="00AB04A2" w:rsidTr="00080F36">
        <w:tc>
          <w:tcPr>
            <w:tcW w:w="2070" w:type="dxa"/>
          </w:tcPr>
          <w:p w:rsidR="00BE423E" w:rsidRPr="00AB04A2" w:rsidRDefault="002C5110" w:rsidP="00AB04A2">
            <w:pPr>
              <w:rPr>
                <w:sz w:val="21"/>
                <w:szCs w:val="21"/>
              </w:rPr>
            </w:pPr>
            <w:r>
              <w:rPr>
                <w:sz w:val="21"/>
                <w:szCs w:val="21"/>
              </w:rPr>
              <w:t>Programs O</w:t>
            </w:r>
            <w:r w:rsidR="00BE423E" w:rsidRPr="00AB04A2">
              <w:rPr>
                <w:sz w:val="21"/>
                <w:szCs w:val="21"/>
              </w:rPr>
              <w:t>n Watch/</w:t>
            </w:r>
            <w:r>
              <w:rPr>
                <w:sz w:val="21"/>
                <w:szCs w:val="21"/>
              </w:rPr>
              <w:t xml:space="preserve">In </w:t>
            </w:r>
            <w:r w:rsidR="00BE423E" w:rsidRPr="00AB04A2">
              <w:rPr>
                <w:sz w:val="21"/>
                <w:szCs w:val="21"/>
              </w:rPr>
              <w:t>Trouble</w:t>
            </w:r>
          </w:p>
        </w:tc>
        <w:tc>
          <w:tcPr>
            <w:tcW w:w="2155" w:type="dxa"/>
          </w:tcPr>
          <w:p w:rsidR="00BE423E" w:rsidRDefault="00BE423E" w:rsidP="00AB04A2">
            <w:pPr>
              <w:rPr>
                <w:sz w:val="21"/>
                <w:szCs w:val="21"/>
              </w:rPr>
            </w:pPr>
            <w:r w:rsidRPr="00AB04A2">
              <w:rPr>
                <w:sz w:val="21"/>
                <w:szCs w:val="21"/>
              </w:rPr>
              <w:t>Real Estate and Computer Comm</w:t>
            </w:r>
            <w:r w:rsidR="00080F36">
              <w:rPr>
                <w:sz w:val="21"/>
                <w:szCs w:val="21"/>
              </w:rPr>
              <w:t>unications</w:t>
            </w:r>
            <w:r w:rsidRPr="00AB04A2">
              <w:rPr>
                <w:sz w:val="21"/>
                <w:szCs w:val="21"/>
              </w:rPr>
              <w:t xml:space="preserve"> Tech</w:t>
            </w:r>
            <w:r w:rsidR="00080F36">
              <w:rPr>
                <w:sz w:val="21"/>
                <w:szCs w:val="21"/>
              </w:rPr>
              <w:t>nology</w:t>
            </w:r>
            <w:r w:rsidRPr="00AB04A2">
              <w:rPr>
                <w:sz w:val="21"/>
                <w:szCs w:val="21"/>
              </w:rPr>
              <w:t xml:space="preserve"> need improvement</w:t>
            </w:r>
          </w:p>
          <w:p w:rsidR="00080F36" w:rsidRPr="00AB04A2" w:rsidRDefault="00080F36" w:rsidP="00AB04A2">
            <w:pPr>
              <w:rPr>
                <w:sz w:val="21"/>
                <w:szCs w:val="21"/>
              </w:rPr>
            </w:pPr>
          </w:p>
        </w:tc>
        <w:tc>
          <w:tcPr>
            <w:tcW w:w="2787" w:type="dxa"/>
          </w:tcPr>
          <w:p w:rsidR="00BE423E" w:rsidRPr="00AB04A2" w:rsidRDefault="00AB04A2" w:rsidP="00AB04A2">
            <w:pPr>
              <w:rPr>
                <w:sz w:val="21"/>
                <w:szCs w:val="21"/>
              </w:rPr>
            </w:pPr>
            <w:r>
              <w:rPr>
                <w:sz w:val="21"/>
                <w:szCs w:val="21"/>
              </w:rPr>
              <w:t>Not applicable</w:t>
            </w:r>
          </w:p>
        </w:tc>
        <w:tc>
          <w:tcPr>
            <w:tcW w:w="2433" w:type="dxa"/>
          </w:tcPr>
          <w:p w:rsidR="00BE423E" w:rsidRPr="00AB04A2" w:rsidRDefault="00AB04A2" w:rsidP="00AB04A2">
            <w:pPr>
              <w:rPr>
                <w:sz w:val="21"/>
                <w:szCs w:val="21"/>
              </w:rPr>
            </w:pPr>
            <w:r>
              <w:rPr>
                <w:sz w:val="21"/>
                <w:szCs w:val="21"/>
              </w:rPr>
              <w:t>Not applicable</w:t>
            </w:r>
          </w:p>
        </w:tc>
      </w:tr>
      <w:tr w:rsidR="00BE423E" w:rsidRPr="00AB04A2" w:rsidTr="00080F36">
        <w:tc>
          <w:tcPr>
            <w:tcW w:w="2070" w:type="dxa"/>
          </w:tcPr>
          <w:p w:rsidR="00BE423E" w:rsidRPr="00AB04A2" w:rsidRDefault="00BE423E" w:rsidP="00AB04A2">
            <w:pPr>
              <w:rPr>
                <w:sz w:val="21"/>
                <w:szCs w:val="21"/>
              </w:rPr>
            </w:pPr>
            <w:r w:rsidRPr="00AB04A2">
              <w:rPr>
                <w:sz w:val="21"/>
                <w:szCs w:val="21"/>
              </w:rPr>
              <w:t>Most Improved Programs</w:t>
            </w:r>
          </w:p>
        </w:tc>
        <w:tc>
          <w:tcPr>
            <w:tcW w:w="2155" w:type="dxa"/>
          </w:tcPr>
          <w:p w:rsidR="00BE423E" w:rsidRPr="00AB04A2" w:rsidRDefault="00BE423E" w:rsidP="00AB04A2">
            <w:pPr>
              <w:rPr>
                <w:sz w:val="21"/>
                <w:szCs w:val="21"/>
              </w:rPr>
            </w:pPr>
            <w:r w:rsidRPr="00AB04A2">
              <w:rPr>
                <w:sz w:val="21"/>
                <w:szCs w:val="21"/>
              </w:rPr>
              <w:t>Engineering, Physics</w:t>
            </w:r>
          </w:p>
        </w:tc>
        <w:tc>
          <w:tcPr>
            <w:tcW w:w="2787" w:type="dxa"/>
          </w:tcPr>
          <w:p w:rsidR="00BE423E" w:rsidRPr="00AB04A2" w:rsidRDefault="00C70C75" w:rsidP="00AB04A2">
            <w:pPr>
              <w:rPr>
                <w:sz w:val="21"/>
                <w:szCs w:val="21"/>
              </w:rPr>
            </w:pPr>
            <w:r w:rsidRPr="00AB04A2">
              <w:rPr>
                <w:sz w:val="21"/>
                <w:szCs w:val="21"/>
              </w:rPr>
              <w:t>Math, ESL</w:t>
            </w:r>
          </w:p>
        </w:tc>
        <w:tc>
          <w:tcPr>
            <w:tcW w:w="2433" w:type="dxa"/>
          </w:tcPr>
          <w:p w:rsidR="00BE423E" w:rsidRDefault="00734AEC" w:rsidP="00AB04A2">
            <w:pPr>
              <w:rPr>
                <w:sz w:val="21"/>
                <w:szCs w:val="21"/>
              </w:rPr>
            </w:pPr>
            <w:r w:rsidRPr="00AB04A2">
              <w:rPr>
                <w:sz w:val="21"/>
                <w:szCs w:val="21"/>
              </w:rPr>
              <w:t>Athletics</w:t>
            </w:r>
            <w:r w:rsidR="000E742F" w:rsidRPr="00AB04A2">
              <w:rPr>
                <w:sz w:val="21"/>
                <w:szCs w:val="21"/>
              </w:rPr>
              <w:t>, Appliance Service Tech,</w:t>
            </w:r>
            <w:r w:rsidRPr="00AB04A2">
              <w:rPr>
                <w:sz w:val="21"/>
                <w:szCs w:val="21"/>
              </w:rPr>
              <w:t xml:space="preserve"> </w:t>
            </w:r>
            <w:r w:rsidR="000E742F" w:rsidRPr="00AB04A2">
              <w:rPr>
                <w:sz w:val="21"/>
                <w:szCs w:val="21"/>
              </w:rPr>
              <w:t>Auto Tech,</w:t>
            </w:r>
            <w:r w:rsidRPr="00AB04A2">
              <w:rPr>
                <w:sz w:val="21"/>
                <w:szCs w:val="21"/>
              </w:rPr>
              <w:t xml:space="preserve"> </w:t>
            </w:r>
            <w:r w:rsidR="000E742F" w:rsidRPr="00AB04A2">
              <w:rPr>
                <w:sz w:val="21"/>
                <w:szCs w:val="21"/>
              </w:rPr>
              <w:t>MESA, Journalism, English, Transfer Academy</w:t>
            </w:r>
          </w:p>
          <w:p w:rsidR="00080F36" w:rsidRDefault="00080F36" w:rsidP="00AB04A2">
            <w:pPr>
              <w:rPr>
                <w:sz w:val="21"/>
                <w:szCs w:val="21"/>
              </w:rPr>
            </w:pPr>
          </w:p>
          <w:p w:rsidR="00080F36" w:rsidRDefault="00080F36" w:rsidP="00AB04A2">
            <w:pPr>
              <w:rPr>
                <w:sz w:val="21"/>
                <w:szCs w:val="21"/>
              </w:rPr>
            </w:pPr>
          </w:p>
          <w:p w:rsidR="00080F36" w:rsidRPr="00AB04A2" w:rsidRDefault="00080F36" w:rsidP="00AB04A2">
            <w:pPr>
              <w:rPr>
                <w:sz w:val="21"/>
                <w:szCs w:val="21"/>
              </w:rPr>
            </w:pPr>
          </w:p>
        </w:tc>
      </w:tr>
      <w:tr w:rsidR="00080F36" w:rsidRPr="00AB04A2" w:rsidTr="00522D77">
        <w:tc>
          <w:tcPr>
            <w:tcW w:w="2070" w:type="dxa"/>
            <w:tcBorders>
              <w:bottom w:val="single" w:sz="4" w:space="0" w:color="auto"/>
            </w:tcBorders>
          </w:tcPr>
          <w:p w:rsidR="00080F36" w:rsidRPr="00AB04A2" w:rsidRDefault="00080F36" w:rsidP="00080F36">
            <w:pPr>
              <w:jc w:val="both"/>
              <w:rPr>
                <w:b/>
                <w:sz w:val="21"/>
                <w:szCs w:val="21"/>
              </w:rPr>
            </w:pPr>
            <w:r w:rsidRPr="00AB04A2">
              <w:rPr>
                <w:b/>
                <w:sz w:val="21"/>
                <w:szCs w:val="21"/>
              </w:rPr>
              <w:t>Data Element</w:t>
            </w:r>
          </w:p>
        </w:tc>
        <w:tc>
          <w:tcPr>
            <w:tcW w:w="2155" w:type="dxa"/>
            <w:tcBorders>
              <w:bottom w:val="single" w:sz="4" w:space="0" w:color="auto"/>
            </w:tcBorders>
          </w:tcPr>
          <w:p w:rsidR="00080F36" w:rsidRPr="00AB04A2" w:rsidRDefault="00080F36" w:rsidP="00080F36">
            <w:pPr>
              <w:jc w:val="both"/>
              <w:rPr>
                <w:b/>
                <w:sz w:val="21"/>
                <w:szCs w:val="21"/>
              </w:rPr>
            </w:pPr>
            <w:r w:rsidRPr="00AB04A2">
              <w:rPr>
                <w:b/>
                <w:sz w:val="21"/>
                <w:szCs w:val="21"/>
              </w:rPr>
              <w:t>CCC</w:t>
            </w:r>
          </w:p>
        </w:tc>
        <w:tc>
          <w:tcPr>
            <w:tcW w:w="2787" w:type="dxa"/>
            <w:tcBorders>
              <w:bottom w:val="single" w:sz="4" w:space="0" w:color="auto"/>
            </w:tcBorders>
          </w:tcPr>
          <w:p w:rsidR="00080F36" w:rsidRPr="00AB04A2" w:rsidRDefault="00080F36" w:rsidP="00080F36">
            <w:pPr>
              <w:jc w:val="both"/>
              <w:rPr>
                <w:b/>
                <w:sz w:val="21"/>
                <w:szCs w:val="21"/>
              </w:rPr>
            </w:pPr>
            <w:r w:rsidRPr="00AB04A2">
              <w:rPr>
                <w:b/>
                <w:sz w:val="21"/>
                <w:szCs w:val="21"/>
              </w:rPr>
              <w:t>DVC</w:t>
            </w:r>
          </w:p>
        </w:tc>
        <w:tc>
          <w:tcPr>
            <w:tcW w:w="2433" w:type="dxa"/>
            <w:tcBorders>
              <w:bottom w:val="single" w:sz="4" w:space="0" w:color="auto"/>
            </w:tcBorders>
          </w:tcPr>
          <w:p w:rsidR="00080F36" w:rsidRPr="00AB04A2" w:rsidRDefault="00080F36" w:rsidP="00080F36">
            <w:pPr>
              <w:jc w:val="both"/>
              <w:rPr>
                <w:b/>
                <w:sz w:val="21"/>
                <w:szCs w:val="21"/>
              </w:rPr>
            </w:pPr>
            <w:r w:rsidRPr="00AB04A2">
              <w:rPr>
                <w:b/>
                <w:sz w:val="21"/>
                <w:szCs w:val="21"/>
              </w:rPr>
              <w:t>LMC</w:t>
            </w:r>
          </w:p>
        </w:tc>
      </w:tr>
      <w:tr w:rsidR="00080F36" w:rsidRPr="00AB04A2" w:rsidTr="00080F36">
        <w:tc>
          <w:tcPr>
            <w:tcW w:w="2070" w:type="dxa"/>
          </w:tcPr>
          <w:p w:rsidR="00080F36" w:rsidRPr="00AB04A2" w:rsidRDefault="00080F36" w:rsidP="00080F36">
            <w:pPr>
              <w:rPr>
                <w:sz w:val="21"/>
                <w:szCs w:val="21"/>
              </w:rPr>
            </w:pPr>
            <w:r>
              <w:rPr>
                <w:sz w:val="21"/>
                <w:szCs w:val="21"/>
              </w:rPr>
              <w:t>Programs b</w:t>
            </w:r>
            <w:r w:rsidRPr="00AB04A2">
              <w:rPr>
                <w:sz w:val="21"/>
                <w:szCs w:val="21"/>
              </w:rPr>
              <w:t>eing Investigated</w:t>
            </w:r>
          </w:p>
        </w:tc>
        <w:tc>
          <w:tcPr>
            <w:tcW w:w="2155" w:type="dxa"/>
          </w:tcPr>
          <w:p w:rsidR="00080F36" w:rsidRDefault="00080F36" w:rsidP="00080F36">
            <w:pPr>
              <w:rPr>
                <w:sz w:val="21"/>
                <w:szCs w:val="21"/>
              </w:rPr>
            </w:pPr>
            <w:r>
              <w:rPr>
                <w:sz w:val="21"/>
                <w:szCs w:val="21"/>
              </w:rPr>
              <w:t>Transportation and Logistics, Warehouse Lead, Homeland Security and Import/E</w:t>
            </w:r>
            <w:r w:rsidRPr="00AB04A2">
              <w:rPr>
                <w:sz w:val="21"/>
                <w:szCs w:val="21"/>
              </w:rPr>
              <w:t xml:space="preserve">xport </w:t>
            </w:r>
            <w:r>
              <w:rPr>
                <w:sz w:val="21"/>
                <w:szCs w:val="21"/>
              </w:rPr>
              <w:t>C</w:t>
            </w:r>
            <w:r w:rsidRPr="00AB04A2">
              <w:rPr>
                <w:sz w:val="21"/>
                <w:szCs w:val="21"/>
              </w:rPr>
              <w:t>ertificates</w:t>
            </w:r>
          </w:p>
          <w:p w:rsidR="00080F36" w:rsidRPr="00AB04A2" w:rsidRDefault="00080F36" w:rsidP="00080F36">
            <w:pPr>
              <w:rPr>
                <w:sz w:val="21"/>
                <w:szCs w:val="21"/>
              </w:rPr>
            </w:pPr>
          </w:p>
        </w:tc>
        <w:tc>
          <w:tcPr>
            <w:tcW w:w="2787" w:type="dxa"/>
          </w:tcPr>
          <w:p w:rsidR="00080F36" w:rsidRPr="00AB04A2" w:rsidRDefault="00080F36" w:rsidP="00080F36">
            <w:pPr>
              <w:rPr>
                <w:sz w:val="21"/>
                <w:szCs w:val="21"/>
              </w:rPr>
            </w:pPr>
            <w:r w:rsidRPr="00AB04A2">
              <w:rPr>
                <w:sz w:val="21"/>
                <w:szCs w:val="21"/>
              </w:rPr>
              <w:t>Engineering, Social Justice, Plant Science</w:t>
            </w:r>
          </w:p>
        </w:tc>
        <w:tc>
          <w:tcPr>
            <w:tcW w:w="2433" w:type="dxa"/>
          </w:tcPr>
          <w:p w:rsidR="00080F36" w:rsidRPr="00AB04A2" w:rsidRDefault="00080F36" w:rsidP="00080F36">
            <w:pPr>
              <w:rPr>
                <w:sz w:val="21"/>
                <w:szCs w:val="21"/>
              </w:rPr>
            </w:pPr>
            <w:r w:rsidRPr="00AB04A2">
              <w:rPr>
                <w:sz w:val="21"/>
                <w:szCs w:val="21"/>
              </w:rPr>
              <w:t>None</w:t>
            </w:r>
          </w:p>
        </w:tc>
      </w:tr>
      <w:tr w:rsidR="00080F36" w:rsidTr="00080F36">
        <w:tc>
          <w:tcPr>
            <w:tcW w:w="2070" w:type="dxa"/>
          </w:tcPr>
          <w:p w:rsidR="00080F36" w:rsidRPr="00AB04A2" w:rsidRDefault="00080F36" w:rsidP="00080F36">
            <w:pPr>
              <w:rPr>
                <w:sz w:val="21"/>
                <w:szCs w:val="21"/>
              </w:rPr>
            </w:pPr>
            <w:r>
              <w:rPr>
                <w:sz w:val="21"/>
                <w:szCs w:val="21"/>
              </w:rPr>
              <w:t>New Instructional P</w:t>
            </w:r>
            <w:r w:rsidRPr="00AB04A2">
              <w:rPr>
                <w:sz w:val="21"/>
                <w:szCs w:val="21"/>
              </w:rPr>
              <w:t>rograms</w:t>
            </w:r>
          </w:p>
        </w:tc>
        <w:tc>
          <w:tcPr>
            <w:tcW w:w="2155" w:type="dxa"/>
          </w:tcPr>
          <w:p w:rsidR="00080F36" w:rsidRDefault="00080F36" w:rsidP="00080F36">
            <w:pPr>
              <w:rPr>
                <w:sz w:val="21"/>
                <w:szCs w:val="21"/>
              </w:rPr>
            </w:pPr>
            <w:r w:rsidRPr="00AB04A2">
              <w:rPr>
                <w:sz w:val="21"/>
                <w:szCs w:val="21"/>
              </w:rPr>
              <w:t>Early Childhood AS, Business Admin</w:t>
            </w:r>
            <w:r>
              <w:rPr>
                <w:sz w:val="21"/>
                <w:szCs w:val="21"/>
              </w:rPr>
              <w:t xml:space="preserve">istration </w:t>
            </w:r>
          </w:p>
          <w:p w:rsidR="00080F36" w:rsidRPr="00AB04A2" w:rsidRDefault="00080F36" w:rsidP="00080F36">
            <w:pPr>
              <w:rPr>
                <w:sz w:val="21"/>
                <w:szCs w:val="21"/>
              </w:rPr>
            </w:pPr>
            <w:r w:rsidRPr="00AB04A2">
              <w:rPr>
                <w:sz w:val="21"/>
                <w:szCs w:val="21"/>
              </w:rPr>
              <w:t xml:space="preserve"> AS-T,</w:t>
            </w:r>
          </w:p>
          <w:p w:rsidR="00080F36" w:rsidRPr="00AB04A2" w:rsidRDefault="00080F36" w:rsidP="00080F36">
            <w:pPr>
              <w:rPr>
                <w:sz w:val="21"/>
                <w:szCs w:val="21"/>
              </w:rPr>
            </w:pPr>
            <w:r w:rsidRPr="00AB04A2">
              <w:rPr>
                <w:sz w:val="21"/>
                <w:szCs w:val="21"/>
              </w:rPr>
              <w:t>Automotive Hybrid, Chassis Level I, Powertrain Level I Certificates</w:t>
            </w:r>
          </w:p>
        </w:tc>
        <w:tc>
          <w:tcPr>
            <w:tcW w:w="2787" w:type="dxa"/>
          </w:tcPr>
          <w:p w:rsidR="00080F36" w:rsidRPr="00AB04A2" w:rsidRDefault="00080F36" w:rsidP="00080F36">
            <w:pPr>
              <w:rPr>
                <w:rFonts w:eastAsia="Calibri" w:cs="Arial"/>
                <w:sz w:val="21"/>
                <w:szCs w:val="21"/>
              </w:rPr>
            </w:pPr>
            <w:r w:rsidRPr="00AB04A2">
              <w:rPr>
                <w:rFonts w:eastAsia="Calibri" w:cs="Arial"/>
                <w:sz w:val="21"/>
                <w:szCs w:val="21"/>
              </w:rPr>
              <w:t>AA</w:t>
            </w:r>
            <w:r>
              <w:rPr>
                <w:rFonts w:eastAsia="Calibri" w:cs="Arial"/>
                <w:sz w:val="21"/>
                <w:szCs w:val="21"/>
              </w:rPr>
              <w:t>-</w:t>
            </w:r>
            <w:r w:rsidRPr="00AB04A2">
              <w:rPr>
                <w:rFonts w:eastAsia="Calibri" w:cs="Arial"/>
                <w:sz w:val="21"/>
                <w:szCs w:val="21"/>
              </w:rPr>
              <w:t>T Elementary Education</w:t>
            </w:r>
          </w:p>
          <w:p w:rsidR="00080F36" w:rsidRPr="00AB04A2" w:rsidRDefault="00080F36" w:rsidP="00080F36">
            <w:pPr>
              <w:rPr>
                <w:rFonts w:eastAsia="Calibri" w:cs="Arial"/>
                <w:sz w:val="21"/>
                <w:szCs w:val="21"/>
              </w:rPr>
            </w:pPr>
            <w:r w:rsidRPr="00AB04A2">
              <w:rPr>
                <w:rFonts w:eastAsia="Calibri" w:cs="Arial"/>
                <w:sz w:val="21"/>
                <w:szCs w:val="21"/>
              </w:rPr>
              <w:t>AS</w:t>
            </w:r>
            <w:r>
              <w:rPr>
                <w:rFonts w:eastAsia="Calibri" w:cs="Arial"/>
                <w:sz w:val="21"/>
                <w:szCs w:val="21"/>
              </w:rPr>
              <w:t>-</w:t>
            </w:r>
            <w:r w:rsidRPr="00AB04A2">
              <w:rPr>
                <w:rFonts w:eastAsia="Calibri" w:cs="Arial"/>
                <w:sz w:val="21"/>
                <w:szCs w:val="21"/>
              </w:rPr>
              <w:t>T Film, Television and Electronic Media</w:t>
            </w:r>
          </w:p>
          <w:p w:rsidR="00080F36" w:rsidRDefault="00080F36" w:rsidP="00080F36">
            <w:pPr>
              <w:rPr>
                <w:rFonts w:eastAsia="Calibri" w:cs="Arial"/>
                <w:sz w:val="21"/>
                <w:szCs w:val="21"/>
              </w:rPr>
            </w:pPr>
            <w:r w:rsidRPr="00AB04A2">
              <w:rPr>
                <w:rFonts w:eastAsia="Calibri" w:cs="Arial"/>
                <w:sz w:val="21"/>
                <w:szCs w:val="21"/>
              </w:rPr>
              <w:t>Certificate of Achievement</w:t>
            </w:r>
            <w:r>
              <w:rPr>
                <w:rFonts w:eastAsia="Calibri" w:cs="Arial"/>
                <w:sz w:val="21"/>
                <w:szCs w:val="21"/>
              </w:rPr>
              <w:t>:</w:t>
            </w:r>
            <w:r w:rsidRPr="00AB04A2">
              <w:rPr>
                <w:rFonts w:eastAsia="Calibri" w:cs="Arial"/>
                <w:sz w:val="21"/>
                <w:szCs w:val="21"/>
              </w:rPr>
              <w:t xml:space="preserve"> </w:t>
            </w:r>
          </w:p>
          <w:p w:rsidR="00080F36" w:rsidRDefault="00080F36" w:rsidP="00080F36">
            <w:pPr>
              <w:rPr>
                <w:rFonts w:eastAsia="Calibri" w:cs="Arial"/>
                <w:sz w:val="21"/>
                <w:szCs w:val="21"/>
              </w:rPr>
            </w:pPr>
            <w:r w:rsidRPr="00AB04A2">
              <w:rPr>
                <w:rFonts w:eastAsia="Calibri" w:cs="Arial"/>
                <w:sz w:val="21"/>
                <w:szCs w:val="21"/>
              </w:rPr>
              <w:t xml:space="preserve">Information </w:t>
            </w:r>
            <w:r>
              <w:rPr>
                <w:rFonts w:eastAsia="Calibri" w:cs="Arial"/>
                <w:sz w:val="21"/>
                <w:szCs w:val="21"/>
              </w:rPr>
              <w:t xml:space="preserve">Technology </w:t>
            </w:r>
          </w:p>
          <w:p w:rsidR="00080F36" w:rsidRDefault="00080F36" w:rsidP="00080F36">
            <w:pPr>
              <w:rPr>
                <w:rFonts w:eastAsia="Calibri" w:cs="Arial"/>
                <w:sz w:val="21"/>
                <w:szCs w:val="21"/>
              </w:rPr>
            </w:pPr>
            <w:r>
              <w:rPr>
                <w:rFonts w:eastAsia="Calibri" w:cs="Arial"/>
                <w:sz w:val="21"/>
                <w:szCs w:val="21"/>
              </w:rPr>
              <w:t xml:space="preserve">AS - </w:t>
            </w:r>
            <w:r w:rsidRPr="00AB04A2">
              <w:rPr>
                <w:rFonts w:eastAsia="Calibri" w:cs="Arial"/>
                <w:sz w:val="21"/>
                <w:szCs w:val="21"/>
              </w:rPr>
              <w:t xml:space="preserve">Information and Communication </w:t>
            </w:r>
            <w:r>
              <w:rPr>
                <w:rFonts w:eastAsia="Calibri" w:cs="Arial"/>
                <w:sz w:val="21"/>
                <w:szCs w:val="21"/>
              </w:rPr>
              <w:t>ICT) Technology</w:t>
            </w:r>
          </w:p>
          <w:p w:rsidR="00080F36" w:rsidRDefault="00080F36" w:rsidP="00080F36">
            <w:pPr>
              <w:rPr>
                <w:rFonts w:eastAsia="Calibri" w:cs="Arial"/>
                <w:sz w:val="21"/>
                <w:szCs w:val="21"/>
              </w:rPr>
            </w:pPr>
            <w:r w:rsidRPr="00AB04A2">
              <w:rPr>
                <w:rFonts w:eastAsia="Calibri" w:cs="Arial"/>
                <w:sz w:val="21"/>
                <w:szCs w:val="21"/>
              </w:rPr>
              <w:t>Certificate</w:t>
            </w:r>
            <w:r>
              <w:rPr>
                <w:rFonts w:eastAsia="Calibri" w:cs="Arial"/>
                <w:sz w:val="21"/>
                <w:szCs w:val="21"/>
              </w:rPr>
              <w:t>s</w:t>
            </w:r>
            <w:r w:rsidRPr="00AB04A2">
              <w:rPr>
                <w:rFonts w:eastAsia="Calibri" w:cs="Arial"/>
                <w:sz w:val="21"/>
                <w:szCs w:val="21"/>
              </w:rPr>
              <w:t xml:space="preserve"> of Achievement</w:t>
            </w:r>
            <w:r>
              <w:rPr>
                <w:rFonts w:eastAsia="Calibri" w:cs="Arial"/>
                <w:sz w:val="21"/>
                <w:szCs w:val="21"/>
              </w:rPr>
              <w:t>:</w:t>
            </w:r>
          </w:p>
          <w:p w:rsidR="00080F36" w:rsidRPr="00AB04A2" w:rsidRDefault="00080F36" w:rsidP="00080F36">
            <w:pPr>
              <w:rPr>
                <w:rFonts w:eastAsia="Calibri" w:cs="Arial"/>
                <w:b/>
                <w:sz w:val="21"/>
                <w:szCs w:val="21"/>
              </w:rPr>
            </w:pPr>
            <w:r>
              <w:rPr>
                <w:rFonts w:eastAsia="Calibri" w:cs="Arial"/>
                <w:sz w:val="21"/>
                <w:szCs w:val="21"/>
              </w:rPr>
              <w:t xml:space="preserve">ICT;  </w:t>
            </w:r>
            <w:r w:rsidRPr="00AB04A2">
              <w:rPr>
                <w:rFonts w:eastAsia="Calibri" w:cs="Arial"/>
                <w:sz w:val="21"/>
                <w:szCs w:val="21"/>
              </w:rPr>
              <w:t>Network Technology Fundamental</w:t>
            </w:r>
            <w:r>
              <w:rPr>
                <w:rFonts w:eastAsia="Calibri" w:cs="Arial"/>
                <w:sz w:val="21"/>
                <w:szCs w:val="21"/>
              </w:rPr>
              <w:t>s;</w:t>
            </w:r>
          </w:p>
          <w:p w:rsidR="00080F36" w:rsidRDefault="00080F36" w:rsidP="00080F36">
            <w:pPr>
              <w:rPr>
                <w:rFonts w:eastAsia="Calibri" w:cs="Arial"/>
                <w:sz w:val="21"/>
                <w:szCs w:val="21"/>
              </w:rPr>
            </w:pPr>
            <w:r w:rsidRPr="00AB04A2">
              <w:rPr>
                <w:rFonts w:eastAsia="Calibri" w:cs="Arial"/>
                <w:sz w:val="21"/>
                <w:szCs w:val="21"/>
              </w:rPr>
              <w:t>Network Cyber Security</w:t>
            </w:r>
          </w:p>
          <w:p w:rsidR="00080F36" w:rsidRPr="00AB04A2" w:rsidRDefault="00080F36" w:rsidP="00080F36">
            <w:pPr>
              <w:rPr>
                <w:sz w:val="21"/>
                <w:szCs w:val="21"/>
              </w:rPr>
            </w:pPr>
          </w:p>
        </w:tc>
        <w:tc>
          <w:tcPr>
            <w:tcW w:w="2433" w:type="dxa"/>
          </w:tcPr>
          <w:p w:rsidR="00080F36" w:rsidRPr="00AB04A2" w:rsidRDefault="00080F36" w:rsidP="00080F36">
            <w:pPr>
              <w:jc w:val="both"/>
              <w:rPr>
                <w:sz w:val="21"/>
                <w:szCs w:val="21"/>
              </w:rPr>
            </w:pPr>
            <w:r w:rsidRPr="00AB04A2">
              <w:rPr>
                <w:sz w:val="21"/>
                <w:szCs w:val="21"/>
              </w:rPr>
              <w:t>None</w:t>
            </w:r>
          </w:p>
        </w:tc>
      </w:tr>
      <w:tr w:rsidR="00080F36" w:rsidTr="00080F36">
        <w:tc>
          <w:tcPr>
            <w:tcW w:w="2070" w:type="dxa"/>
          </w:tcPr>
          <w:p w:rsidR="00080F36" w:rsidRPr="00AB04A2" w:rsidRDefault="00080F36" w:rsidP="00080F36">
            <w:pPr>
              <w:rPr>
                <w:sz w:val="21"/>
                <w:szCs w:val="21"/>
              </w:rPr>
            </w:pPr>
            <w:r w:rsidRPr="00AB04A2">
              <w:rPr>
                <w:sz w:val="21"/>
                <w:szCs w:val="21"/>
              </w:rPr>
              <w:t xml:space="preserve">Programs to be </w:t>
            </w:r>
            <w:r>
              <w:rPr>
                <w:sz w:val="21"/>
                <w:szCs w:val="21"/>
              </w:rPr>
              <w:t>Modified/Reduced</w:t>
            </w:r>
          </w:p>
        </w:tc>
        <w:tc>
          <w:tcPr>
            <w:tcW w:w="2155" w:type="dxa"/>
          </w:tcPr>
          <w:p w:rsidR="00080F36" w:rsidRPr="00AB04A2" w:rsidRDefault="00080F36" w:rsidP="00080F36">
            <w:pPr>
              <w:rPr>
                <w:sz w:val="21"/>
                <w:szCs w:val="21"/>
              </w:rPr>
            </w:pPr>
            <w:r>
              <w:rPr>
                <w:sz w:val="21"/>
                <w:szCs w:val="21"/>
              </w:rPr>
              <w:t>Not applicable</w:t>
            </w:r>
          </w:p>
        </w:tc>
        <w:tc>
          <w:tcPr>
            <w:tcW w:w="2787" w:type="dxa"/>
          </w:tcPr>
          <w:p w:rsidR="00080F36" w:rsidRDefault="00080F36" w:rsidP="00080F36">
            <w:pPr>
              <w:rPr>
                <w:sz w:val="21"/>
                <w:szCs w:val="21"/>
              </w:rPr>
            </w:pPr>
            <w:r w:rsidRPr="00AB04A2">
              <w:rPr>
                <w:sz w:val="21"/>
                <w:szCs w:val="21"/>
              </w:rPr>
              <w:t>Certificate of Achievement Office Professional</w:t>
            </w:r>
          </w:p>
          <w:p w:rsidR="00080F36" w:rsidRPr="00AB04A2" w:rsidRDefault="00080F36" w:rsidP="00080F36">
            <w:pPr>
              <w:rPr>
                <w:sz w:val="21"/>
                <w:szCs w:val="21"/>
              </w:rPr>
            </w:pPr>
          </w:p>
        </w:tc>
        <w:tc>
          <w:tcPr>
            <w:tcW w:w="2433" w:type="dxa"/>
          </w:tcPr>
          <w:p w:rsidR="00080F36" w:rsidRPr="00AB04A2" w:rsidRDefault="00080F36" w:rsidP="00080F36">
            <w:pPr>
              <w:rPr>
                <w:sz w:val="21"/>
                <w:szCs w:val="21"/>
              </w:rPr>
            </w:pPr>
            <w:r w:rsidRPr="00AB04A2">
              <w:rPr>
                <w:sz w:val="21"/>
                <w:szCs w:val="21"/>
              </w:rPr>
              <w:t>None</w:t>
            </w:r>
          </w:p>
        </w:tc>
      </w:tr>
      <w:tr w:rsidR="00080F36" w:rsidTr="00080F36">
        <w:tc>
          <w:tcPr>
            <w:tcW w:w="2070" w:type="dxa"/>
          </w:tcPr>
          <w:p w:rsidR="00080F36" w:rsidRPr="00AB04A2" w:rsidRDefault="00080F36" w:rsidP="00080F36">
            <w:pPr>
              <w:rPr>
                <w:sz w:val="21"/>
                <w:szCs w:val="21"/>
              </w:rPr>
            </w:pPr>
            <w:r>
              <w:rPr>
                <w:sz w:val="21"/>
                <w:szCs w:val="21"/>
              </w:rPr>
              <w:t xml:space="preserve">Programs to be </w:t>
            </w:r>
            <w:r>
              <w:rPr>
                <w:sz w:val="21"/>
                <w:szCs w:val="21"/>
              </w:rPr>
              <w:lastRenderedPageBreak/>
              <w:t>D</w:t>
            </w:r>
            <w:r w:rsidRPr="00AB04A2">
              <w:rPr>
                <w:sz w:val="21"/>
                <w:szCs w:val="21"/>
              </w:rPr>
              <w:t>iscontinued</w:t>
            </w:r>
          </w:p>
        </w:tc>
        <w:tc>
          <w:tcPr>
            <w:tcW w:w="2155" w:type="dxa"/>
          </w:tcPr>
          <w:p w:rsidR="00080F36" w:rsidRPr="00AB04A2" w:rsidRDefault="00080F36" w:rsidP="00080F36">
            <w:pPr>
              <w:rPr>
                <w:sz w:val="21"/>
                <w:szCs w:val="21"/>
              </w:rPr>
            </w:pPr>
            <w:r>
              <w:rPr>
                <w:sz w:val="21"/>
                <w:szCs w:val="21"/>
              </w:rPr>
              <w:lastRenderedPageBreak/>
              <w:t>Not applicable</w:t>
            </w:r>
          </w:p>
        </w:tc>
        <w:tc>
          <w:tcPr>
            <w:tcW w:w="2787" w:type="dxa"/>
          </w:tcPr>
          <w:p w:rsidR="00080F36" w:rsidRPr="00AB04A2" w:rsidRDefault="00080F36" w:rsidP="00080F36">
            <w:pPr>
              <w:rPr>
                <w:sz w:val="21"/>
                <w:szCs w:val="21"/>
              </w:rPr>
            </w:pPr>
            <w:r>
              <w:rPr>
                <w:sz w:val="21"/>
                <w:szCs w:val="21"/>
              </w:rPr>
              <w:t>Not applicable</w:t>
            </w:r>
          </w:p>
        </w:tc>
        <w:tc>
          <w:tcPr>
            <w:tcW w:w="2433" w:type="dxa"/>
          </w:tcPr>
          <w:p w:rsidR="00080F36" w:rsidRDefault="00080F36" w:rsidP="00080F36">
            <w:pPr>
              <w:rPr>
                <w:sz w:val="21"/>
                <w:szCs w:val="21"/>
              </w:rPr>
            </w:pPr>
            <w:r w:rsidRPr="00AB04A2">
              <w:rPr>
                <w:sz w:val="21"/>
                <w:szCs w:val="21"/>
              </w:rPr>
              <w:t xml:space="preserve">Anthropology, </w:t>
            </w:r>
            <w:r w:rsidRPr="00AB04A2">
              <w:rPr>
                <w:sz w:val="21"/>
                <w:szCs w:val="21"/>
              </w:rPr>
              <w:lastRenderedPageBreak/>
              <w:t>Computer Science, Mathematics</w:t>
            </w:r>
          </w:p>
          <w:p w:rsidR="00080F36" w:rsidRPr="00AB04A2" w:rsidRDefault="00080F36" w:rsidP="00080F36">
            <w:pPr>
              <w:rPr>
                <w:sz w:val="21"/>
                <w:szCs w:val="21"/>
              </w:rPr>
            </w:pPr>
          </w:p>
        </w:tc>
      </w:tr>
      <w:tr w:rsidR="00080F36" w:rsidTr="00080F36">
        <w:tc>
          <w:tcPr>
            <w:tcW w:w="2070" w:type="dxa"/>
          </w:tcPr>
          <w:p w:rsidR="00080F36" w:rsidRPr="00AB04A2" w:rsidRDefault="00080F36" w:rsidP="00080F36">
            <w:pPr>
              <w:rPr>
                <w:sz w:val="21"/>
                <w:szCs w:val="21"/>
              </w:rPr>
            </w:pPr>
            <w:r w:rsidRPr="00AB04A2">
              <w:rPr>
                <w:sz w:val="21"/>
                <w:szCs w:val="21"/>
              </w:rPr>
              <w:lastRenderedPageBreak/>
              <w:t>SLOs</w:t>
            </w:r>
          </w:p>
        </w:tc>
        <w:tc>
          <w:tcPr>
            <w:tcW w:w="2155" w:type="dxa"/>
          </w:tcPr>
          <w:p w:rsidR="00080F36" w:rsidRPr="00AB04A2" w:rsidRDefault="00080F36" w:rsidP="00080F36">
            <w:pPr>
              <w:rPr>
                <w:sz w:val="21"/>
                <w:szCs w:val="21"/>
              </w:rPr>
            </w:pPr>
            <w:r>
              <w:rPr>
                <w:sz w:val="21"/>
                <w:szCs w:val="21"/>
              </w:rPr>
              <w:t xml:space="preserve">100% to </w:t>
            </w:r>
            <w:r w:rsidRPr="00AB04A2">
              <w:rPr>
                <w:sz w:val="21"/>
                <w:szCs w:val="21"/>
              </w:rPr>
              <w:t>80% attainment in all categories.</w:t>
            </w:r>
          </w:p>
        </w:tc>
        <w:tc>
          <w:tcPr>
            <w:tcW w:w="2787" w:type="dxa"/>
          </w:tcPr>
          <w:p w:rsidR="00080F36" w:rsidRPr="00AB04A2" w:rsidRDefault="00080F36" w:rsidP="00080F36">
            <w:pPr>
              <w:rPr>
                <w:sz w:val="21"/>
                <w:szCs w:val="21"/>
              </w:rPr>
            </w:pPr>
            <w:r>
              <w:rPr>
                <w:sz w:val="21"/>
                <w:szCs w:val="21"/>
              </w:rPr>
              <w:t>100% a</w:t>
            </w:r>
            <w:r w:rsidRPr="00AB04A2">
              <w:rPr>
                <w:sz w:val="21"/>
                <w:szCs w:val="21"/>
              </w:rPr>
              <w:t>ttainment in al</w:t>
            </w:r>
            <w:r>
              <w:rPr>
                <w:sz w:val="21"/>
                <w:szCs w:val="21"/>
              </w:rPr>
              <w:t>l</w:t>
            </w:r>
            <w:r w:rsidRPr="00AB04A2">
              <w:rPr>
                <w:sz w:val="21"/>
                <w:szCs w:val="21"/>
              </w:rPr>
              <w:t xml:space="preserve"> categories</w:t>
            </w:r>
          </w:p>
        </w:tc>
        <w:tc>
          <w:tcPr>
            <w:tcW w:w="2433" w:type="dxa"/>
          </w:tcPr>
          <w:p w:rsidR="00080F36" w:rsidRDefault="00080F36" w:rsidP="00080F36">
            <w:pPr>
              <w:rPr>
                <w:sz w:val="21"/>
                <w:szCs w:val="21"/>
              </w:rPr>
            </w:pPr>
            <w:r>
              <w:rPr>
                <w:sz w:val="21"/>
                <w:szCs w:val="21"/>
              </w:rPr>
              <w:t>100%to</w:t>
            </w:r>
            <w:r w:rsidRPr="00AB04A2">
              <w:rPr>
                <w:sz w:val="21"/>
                <w:szCs w:val="21"/>
              </w:rPr>
              <w:t xml:space="preserve"> 56% attainment in all categories</w:t>
            </w:r>
          </w:p>
          <w:p w:rsidR="00080F36" w:rsidRPr="00AB04A2" w:rsidRDefault="00080F36" w:rsidP="00080F36">
            <w:pPr>
              <w:rPr>
                <w:sz w:val="21"/>
                <w:szCs w:val="21"/>
              </w:rPr>
            </w:pPr>
          </w:p>
        </w:tc>
      </w:tr>
      <w:tr w:rsidR="00080F36" w:rsidTr="00080F36">
        <w:tc>
          <w:tcPr>
            <w:tcW w:w="2070" w:type="dxa"/>
          </w:tcPr>
          <w:p w:rsidR="00080F36" w:rsidRPr="00AB04A2" w:rsidRDefault="00080F36" w:rsidP="00080F36">
            <w:pPr>
              <w:rPr>
                <w:sz w:val="21"/>
                <w:szCs w:val="21"/>
              </w:rPr>
            </w:pPr>
            <w:r>
              <w:rPr>
                <w:sz w:val="21"/>
                <w:szCs w:val="21"/>
              </w:rPr>
              <w:t>Number of Transfer Degrees</w:t>
            </w:r>
          </w:p>
        </w:tc>
        <w:tc>
          <w:tcPr>
            <w:tcW w:w="2155" w:type="dxa"/>
          </w:tcPr>
          <w:p w:rsidR="00080F36" w:rsidRPr="00AB04A2" w:rsidRDefault="00080F36" w:rsidP="00080F36">
            <w:pPr>
              <w:rPr>
                <w:sz w:val="21"/>
                <w:szCs w:val="21"/>
              </w:rPr>
            </w:pPr>
            <w:r w:rsidRPr="00AB04A2">
              <w:rPr>
                <w:sz w:val="21"/>
                <w:szCs w:val="21"/>
              </w:rPr>
              <w:t>19</w:t>
            </w:r>
          </w:p>
        </w:tc>
        <w:tc>
          <w:tcPr>
            <w:tcW w:w="2787" w:type="dxa"/>
          </w:tcPr>
          <w:p w:rsidR="00080F36" w:rsidRPr="00AB04A2" w:rsidRDefault="00080F36" w:rsidP="00080F36">
            <w:pPr>
              <w:rPr>
                <w:sz w:val="21"/>
                <w:szCs w:val="21"/>
              </w:rPr>
            </w:pPr>
            <w:r w:rsidRPr="00AB04A2">
              <w:rPr>
                <w:sz w:val="21"/>
                <w:szCs w:val="21"/>
              </w:rPr>
              <w:t>23</w:t>
            </w:r>
          </w:p>
        </w:tc>
        <w:tc>
          <w:tcPr>
            <w:tcW w:w="2433" w:type="dxa"/>
          </w:tcPr>
          <w:p w:rsidR="00080F36" w:rsidRPr="00AB04A2" w:rsidRDefault="00080F36" w:rsidP="00080F36">
            <w:pPr>
              <w:rPr>
                <w:sz w:val="21"/>
                <w:szCs w:val="21"/>
              </w:rPr>
            </w:pPr>
            <w:r w:rsidRPr="00AB04A2">
              <w:rPr>
                <w:sz w:val="21"/>
                <w:szCs w:val="21"/>
              </w:rPr>
              <w:t>20</w:t>
            </w:r>
          </w:p>
        </w:tc>
      </w:tr>
    </w:tbl>
    <w:p w:rsidR="00BE423E" w:rsidRDefault="00BE423E" w:rsidP="00BE423E">
      <w:pPr>
        <w:jc w:val="both"/>
        <w:rPr>
          <w:szCs w:val="24"/>
        </w:rPr>
      </w:pPr>
    </w:p>
    <w:p w:rsidR="00EC4F89" w:rsidRPr="000C76C5" w:rsidRDefault="00EC4F89" w:rsidP="00EC4F89">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2C5110">
        <w:rPr>
          <w:sz w:val="22"/>
          <w:szCs w:val="22"/>
        </w:rPr>
        <w:t>Andrew C. Jones</w:t>
      </w:r>
    </w:p>
    <w:p w:rsidR="004E1239" w:rsidRPr="000C76C5" w:rsidRDefault="004E1239">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rPr>
          <w:sz w:val="22"/>
          <w:szCs w:val="22"/>
        </w:rPr>
      </w:pPr>
    </w:p>
    <w:p w:rsidR="00D96CD7" w:rsidRPr="000C76C5" w:rsidRDefault="00D96CD7">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rPr>
          <w:sz w:val="22"/>
          <w:szCs w:val="22"/>
        </w:rPr>
      </w:pPr>
    </w:p>
    <w:p w:rsidR="00D96CD7" w:rsidRPr="000C76C5" w:rsidRDefault="00D96CD7">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rPr>
          <w:sz w:val="22"/>
          <w:szCs w:val="22"/>
        </w:rPr>
      </w:pPr>
    </w:p>
    <w:p w:rsidR="00D96CD7" w:rsidRPr="000C76C5" w:rsidRDefault="00D96CD7">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rPr>
          <w:sz w:val="22"/>
          <w:szCs w:val="22"/>
        </w:rPr>
      </w:pPr>
    </w:p>
    <w:sectPr w:rsidR="00D96CD7" w:rsidRPr="000C76C5" w:rsidSect="00D96CD7">
      <w:headerReference w:type="default" r:id="rId7"/>
      <w:endnotePr>
        <w:numFmt w:val="decimal"/>
      </w:endnotePr>
      <w:pgSz w:w="12240" w:h="15840"/>
      <w:pgMar w:top="1440" w:right="1008"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319" w:rsidRDefault="00EA0319">
      <w:r>
        <w:separator/>
      </w:r>
    </w:p>
  </w:endnote>
  <w:endnote w:type="continuationSeparator" w:id="0">
    <w:p w:rsidR="00EA0319" w:rsidRDefault="00EA0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319" w:rsidRDefault="00EA0319">
      <w:r>
        <w:separator/>
      </w:r>
    </w:p>
  </w:footnote>
  <w:footnote w:type="continuationSeparator" w:id="0">
    <w:p w:rsidR="00EA0319" w:rsidRDefault="00EA03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99E" w:rsidRDefault="00AB04A2" w:rsidP="002C5110">
    <w:pPr>
      <w:pStyle w:val="Header"/>
      <w:tabs>
        <w:tab w:val="clear" w:pos="8640"/>
        <w:tab w:val="right" w:pos="9360"/>
      </w:tabs>
      <w:rPr>
        <w:sz w:val="22"/>
        <w:szCs w:val="22"/>
      </w:rPr>
    </w:pPr>
    <w:r w:rsidRPr="00AB04A2">
      <w:rPr>
        <w:sz w:val="22"/>
        <w:szCs w:val="22"/>
      </w:rPr>
      <w:t>Educational Planning Report</w:t>
    </w:r>
    <w:r w:rsidRPr="00AB04A2">
      <w:rPr>
        <w:sz w:val="22"/>
        <w:szCs w:val="22"/>
      </w:rPr>
      <w:tab/>
    </w:r>
    <w:r w:rsidRPr="00AB04A2">
      <w:rPr>
        <w:sz w:val="22"/>
        <w:szCs w:val="22"/>
      </w:rPr>
      <w:tab/>
      <w:t>-2-</w:t>
    </w:r>
  </w:p>
  <w:p w:rsidR="00AB04A2" w:rsidRPr="00AB04A2" w:rsidRDefault="00AB04A2" w:rsidP="005C4FE7">
    <w:pPr>
      <w:pStyle w:val="Heade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3911C5"/>
    <w:multiLevelType w:val="hybridMultilevel"/>
    <w:tmpl w:val="B470C86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266"/>
    <w:rsid w:val="00080F36"/>
    <w:rsid w:val="000C76C5"/>
    <w:rsid w:val="000E742F"/>
    <w:rsid w:val="001651D3"/>
    <w:rsid w:val="0019748D"/>
    <w:rsid w:val="002C5110"/>
    <w:rsid w:val="002D0C87"/>
    <w:rsid w:val="003A5A8F"/>
    <w:rsid w:val="004A2837"/>
    <w:rsid w:val="004E1239"/>
    <w:rsid w:val="004F1D06"/>
    <w:rsid w:val="005C4FE7"/>
    <w:rsid w:val="005F0489"/>
    <w:rsid w:val="00610F70"/>
    <w:rsid w:val="006D099E"/>
    <w:rsid w:val="006E648B"/>
    <w:rsid w:val="00734AEC"/>
    <w:rsid w:val="008850B7"/>
    <w:rsid w:val="0092762B"/>
    <w:rsid w:val="00927A3B"/>
    <w:rsid w:val="00956C10"/>
    <w:rsid w:val="00981F88"/>
    <w:rsid w:val="00A00947"/>
    <w:rsid w:val="00A16E5E"/>
    <w:rsid w:val="00A30912"/>
    <w:rsid w:val="00A827BD"/>
    <w:rsid w:val="00AB04A2"/>
    <w:rsid w:val="00AD1163"/>
    <w:rsid w:val="00B23508"/>
    <w:rsid w:val="00B46266"/>
    <w:rsid w:val="00B47EE6"/>
    <w:rsid w:val="00BE23AF"/>
    <w:rsid w:val="00BE423E"/>
    <w:rsid w:val="00C1254B"/>
    <w:rsid w:val="00C70C75"/>
    <w:rsid w:val="00CC098B"/>
    <w:rsid w:val="00D96CD7"/>
    <w:rsid w:val="00EA0319"/>
    <w:rsid w:val="00EC4F89"/>
    <w:rsid w:val="00FE2D13"/>
    <w:rsid w:val="00FF3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0CC783E-5840-4D37-A49B-A068B750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F88"/>
    <w:pPr>
      <w:widowControl w:val="0"/>
    </w:pPr>
    <w:rPr>
      <w:rFonts w:ascii="Arial" w:hAnsi="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81F88"/>
  </w:style>
  <w:style w:type="paragraph" w:styleId="Header">
    <w:name w:val="header"/>
    <w:basedOn w:val="Normal"/>
    <w:rsid w:val="005C4FE7"/>
    <w:pPr>
      <w:tabs>
        <w:tab w:val="center" w:pos="4320"/>
        <w:tab w:val="right" w:pos="8640"/>
      </w:tabs>
    </w:pPr>
  </w:style>
  <w:style w:type="paragraph" w:styleId="Footer">
    <w:name w:val="footer"/>
    <w:basedOn w:val="Normal"/>
    <w:rsid w:val="005C4FE7"/>
    <w:pPr>
      <w:tabs>
        <w:tab w:val="center" w:pos="4320"/>
        <w:tab w:val="right" w:pos="8640"/>
      </w:tabs>
    </w:pPr>
  </w:style>
  <w:style w:type="character" w:styleId="PageNumber">
    <w:name w:val="page number"/>
    <w:basedOn w:val="DefaultParagraphFont"/>
    <w:rsid w:val="005C4FE7"/>
  </w:style>
  <w:style w:type="table" w:styleId="TableGrid">
    <w:name w:val="Table Grid"/>
    <w:basedOn w:val="TableNormal"/>
    <w:uiPriority w:val="39"/>
    <w:rsid w:val="00BE423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0C75"/>
    <w:pPr>
      <w:widowControl/>
      <w:spacing w:after="200" w:line="276" w:lineRule="auto"/>
      <w:ind w:left="720"/>
      <w:contextualSpacing/>
    </w:pPr>
    <w:rPr>
      <w:rFonts w:asciiTheme="minorHAnsi" w:eastAsiaTheme="minorHAnsi" w:hAnsiTheme="minorHAnsi" w:cstheme="minorBid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kaya\AppData\Local\Microsoft\Windows\Temporary%20Internet%20Files\Content.Outlook\G3K7IHRN\Agenda%20Ite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Item</Template>
  <TotalTime>0</TotalTime>
  <Pages>2</Pages>
  <Words>432</Words>
  <Characters>2766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Contra Costa Community College District</vt:lpstr>
    </vt:vector>
  </TitlesOfParts>
  <Company>CCCCD</Company>
  <LinksUpToDate>false</LinksUpToDate>
  <CharactersWithSpaces>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 Costa Community College District</dc:title>
  <dc:creator>pkaya</dc:creator>
  <cp:lastModifiedBy>Abigail Duldulao</cp:lastModifiedBy>
  <cp:revision>2</cp:revision>
  <cp:lastPrinted>2005-10-31T22:06:00Z</cp:lastPrinted>
  <dcterms:created xsi:type="dcterms:W3CDTF">2016-01-20T19:47:00Z</dcterms:created>
  <dcterms:modified xsi:type="dcterms:W3CDTF">2016-01-20T19:47:00Z</dcterms:modified>
</cp:coreProperties>
</file>