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06C" w:rsidRPr="006D406C" w:rsidRDefault="006D406C" w:rsidP="006D406C">
      <w:pPr>
        <w:shd w:val="clear" w:color="auto" w:fill="FFFFFF"/>
        <w:jc w:val="center"/>
        <w:outlineLvl w:val="0"/>
        <w:rPr>
          <w:rFonts w:ascii="Calibri" w:eastAsia="Times New Roman" w:hAnsi="Calibri"/>
          <w:b/>
          <w:bCs/>
          <w:color w:val="000000"/>
          <w:sz w:val="28"/>
          <w:szCs w:val="28"/>
          <w:u w:val="single"/>
        </w:rPr>
      </w:pPr>
      <w:r w:rsidRPr="006D406C">
        <w:rPr>
          <w:rFonts w:ascii="Calibri" w:eastAsia="Times New Roman" w:hAnsi="Calibri"/>
          <w:b/>
          <w:color w:val="000000"/>
          <w:sz w:val="28"/>
          <w:szCs w:val="28"/>
          <w:highlight w:val="yellow"/>
          <w:u w:val="single"/>
        </w:rPr>
        <w:t>Change in LMC GE Requirements in 2015-2016 Catalog</w:t>
      </w:r>
    </w:p>
    <w:p w:rsidR="006D406C" w:rsidRDefault="006D406C" w:rsidP="006D406C">
      <w:pPr>
        <w:shd w:val="clear" w:color="auto" w:fill="FFFFFF"/>
        <w:outlineLvl w:val="0"/>
        <w:rPr>
          <w:rFonts w:ascii="Calibri" w:eastAsia="Times New Roman" w:hAnsi="Calibri"/>
          <w:b/>
          <w:bCs/>
          <w:color w:val="000000"/>
          <w:sz w:val="22"/>
          <w:szCs w:val="22"/>
        </w:rPr>
      </w:pPr>
    </w:p>
    <w:p w:rsidR="006D406C" w:rsidRDefault="006D406C" w:rsidP="006D406C">
      <w:pPr>
        <w:shd w:val="clear" w:color="auto" w:fill="FFFFFF"/>
        <w:outlineLvl w:val="0"/>
        <w:rPr>
          <w:rFonts w:ascii="Calibri" w:eastAsia="Times New Roman" w:hAnsi="Calibri"/>
          <w:color w:val="000000"/>
        </w:rPr>
      </w:pPr>
      <w:r>
        <w:rPr>
          <w:rFonts w:ascii="Calibri" w:eastAsia="Times New Roman" w:hAnsi="Calibri"/>
          <w:b/>
          <w:bCs/>
          <w:color w:val="000000"/>
          <w:sz w:val="22"/>
          <w:szCs w:val="22"/>
        </w:rPr>
        <w:t>From:</w:t>
      </w:r>
      <w:r>
        <w:rPr>
          <w:rFonts w:ascii="Calibri" w:eastAsia="Times New Roman" w:hAnsi="Calibri"/>
          <w:color w:val="000000"/>
          <w:sz w:val="22"/>
          <w:szCs w:val="22"/>
        </w:rPr>
        <w:t xml:space="preserve"> Horan, Kevin</w:t>
      </w:r>
      <w:r>
        <w:rPr>
          <w:rFonts w:ascii="Calibri" w:eastAsia="Times New Roman" w:hAnsi="Calibri"/>
          <w:color w:val="000000"/>
          <w:sz w:val="22"/>
          <w:szCs w:val="22"/>
        </w:rPr>
        <w:br/>
      </w:r>
      <w:r>
        <w:rPr>
          <w:rFonts w:ascii="Calibri" w:eastAsia="Times New Roman" w:hAnsi="Calibri"/>
          <w:b/>
          <w:bCs/>
          <w:color w:val="000000"/>
          <w:sz w:val="22"/>
          <w:szCs w:val="22"/>
        </w:rPr>
        <w:t>Sent:</w:t>
      </w:r>
      <w:r>
        <w:rPr>
          <w:rFonts w:ascii="Calibri" w:eastAsia="Times New Roman" w:hAnsi="Calibri"/>
          <w:color w:val="000000"/>
          <w:sz w:val="22"/>
          <w:szCs w:val="22"/>
        </w:rPr>
        <w:t xml:space="preserve"> Tuesday, October 6, 2015 2:20 PM</w:t>
      </w:r>
      <w:r>
        <w:rPr>
          <w:rFonts w:ascii="Calibri" w:eastAsia="Times New Roman" w:hAnsi="Calibri"/>
          <w:color w:val="000000"/>
          <w:sz w:val="22"/>
          <w:szCs w:val="22"/>
        </w:rPr>
        <w:br/>
      </w:r>
      <w:r>
        <w:rPr>
          <w:rFonts w:ascii="Calibri" w:eastAsia="Times New Roman" w:hAnsi="Calibri"/>
          <w:b/>
          <w:bCs/>
          <w:color w:val="000000"/>
          <w:sz w:val="22"/>
          <w:szCs w:val="22"/>
        </w:rPr>
        <w:t>To:</w:t>
      </w:r>
      <w:r>
        <w:rPr>
          <w:rFonts w:ascii="Calibri" w:eastAsia="Times New Roman" w:hAnsi="Calibri"/>
          <w:color w:val="000000"/>
          <w:sz w:val="22"/>
          <w:szCs w:val="22"/>
        </w:rPr>
        <w:t xml:space="preserve"> Henderson, Silvester</w:t>
      </w:r>
      <w:r>
        <w:rPr>
          <w:rFonts w:ascii="Calibri" w:eastAsia="Times New Roman" w:hAnsi="Calibri"/>
          <w:color w:val="000000"/>
          <w:sz w:val="22"/>
          <w:szCs w:val="22"/>
        </w:rPr>
        <w:br/>
      </w:r>
      <w:r>
        <w:rPr>
          <w:rFonts w:ascii="Calibri" w:eastAsia="Times New Roman" w:hAnsi="Calibri"/>
          <w:b/>
          <w:bCs/>
          <w:color w:val="000000"/>
          <w:sz w:val="22"/>
          <w:szCs w:val="22"/>
        </w:rPr>
        <w:t>Cc:</w:t>
      </w:r>
      <w:r>
        <w:rPr>
          <w:rFonts w:ascii="Calibri" w:eastAsia="Times New Roman" w:hAnsi="Calibri"/>
          <w:color w:val="000000"/>
          <w:sz w:val="22"/>
          <w:szCs w:val="22"/>
        </w:rPr>
        <w:t xml:space="preserve"> Valenzuela, Eileen; Hannum, Natalie; Moore, A'kilah; Ybarra, Nancy; Belman, David; </w:t>
      </w:r>
      <w:proofErr w:type="spellStart"/>
      <w:r>
        <w:rPr>
          <w:rFonts w:ascii="Calibri" w:eastAsia="Times New Roman" w:hAnsi="Calibri"/>
          <w:color w:val="000000"/>
          <w:sz w:val="22"/>
          <w:szCs w:val="22"/>
        </w:rPr>
        <w:t>Benford</w:t>
      </w:r>
      <w:proofErr w:type="spellEnd"/>
      <w:r>
        <w:rPr>
          <w:rFonts w:ascii="Calibri" w:eastAsia="Times New Roman" w:hAnsi="Calibri"/>
          <w:color w:val="000000"/>
          <w:sz w:val="22"/>
          <w:szCs w:val="22"/>
        </w:rPr>
        <w:t>, Jeffrey; Newman, Gail; Armour, Robin</w:t>
      </w:r>
      <w:r>
        <w:rPr>
          <w:rFonts w:ascii="Calibri" w:eastAsia="Times New Roman" w:hAnsi="Calibri"/>
          <w:color w:val="000000"/>
          <w:sz w:val="22"/>
          <w:szCs w:val="22"/>
        </w:rPr>
        <w:br/>
      </w:r>
      <w:r>
        <w:rPr>
          <w:rFonts w:ascii="Calibri" w:eastAsia="Times New Roman" w:hAnsi="Calibri"/>
          <w:b/>
          <w:bCs/>
          <w:color w:val="000000"/>
          <w:sz w:val="22"/>
          <w:szCs w:val="22"/>
        </w:rPr>
        <w:t>Subject:</w:t>
      </w:r>
      <w:r>
        <w:rPr>
          <w:rFonts w:ascii="Calibri" w:eastAsia="Times New Roman" w:hAnsi="Calibri"/>
          <w:color w:val="000000"/>
          <w:sz w:val="22"/>
          <w:szCs w:val="22"/>
        </w:rPr>
        <w:t xml:space="preserve"> Change in LMC GE Requirements in 2015-2016 Catalog</w:t>
      </w:r>
      <w:r>
        <w:rPr>
          <w:rFonts w:ascii="Calibri" w:eastAsia="Times New Roman" w:hAnsi="Calibri"/>
          <w:color w:val="000000"/>
        </w:rPr>
        <w:t xml:space="preserve"> </w:t>
      </w:r>
    </w:p>
    <w:p w:rsidR="006D406C" w:rsidRDefault="006D406C" w:rsidP="006D406C">
      <w:pPr>
        <w:shd w:val="clear" w:color="auto" w:fill="FFFFFF"/>
        <w:rPr>
          <w:rFonts w:ascii="Calibri" w:eastAsia="Times New Roman" w:hAnsi="Calibri"/>
          <w:color w:val="000000"/>
        </w:rPr>
      </w:pPr>
      <w:r>
        <w:rPr>
          <w:rFonts w:ascii="Calibri" w:eastAsia="Times New Roman" w:hAnsi="Calibri"/>
          <w:color w:val="000000"/>
        </w:rPr>
        <w:t> </w:t>
      </w:r>
    </w:p>
    <w:p w:rsidR="006D406C" w:rsidRDefault="006D406C" w:rsidP="006D406C">
      <w:pPr>
        <w:pStyle w:val="NormalWeb"/>
        <w:shd w:val="clear" w:color="auto" w:fill="FFFFFF"/>
        <w:rPr>
          <w:rFonts w:ascii="Calibri" w:hAnsi="Calibri"/>
          <w:color w:val="000000"/>
          <w:sz w:val="22"/>
          <w:szCs w:val="22"/>
        </w:rPr>
      </w:pPr>
      <w:r>
        <w:rPr>
          <w:rFonts w:ascii="Calibri" w:hAnsi="Calibri"/>
          <w:color w:val="000000"/>
          <w:sz w:val="22"/>
          <w:szCs w:val="22"/>
        </w:rPr>
        <w:t>Afternoon Silvester,</w:t>
      </w:r>
      <w:bookmarkStart w:id="0" w:name="_GoBack"/>
      <w:bookmarkEnd w:id="0"/>
    </w:p>
    <w:p w:rsidR="006D406C" w:rsidRDefault="006D406C" w:rsidP="006D406C">
      <w:pPr>
        <w:pStyle w:val="NormalWeb"/>
        <w:shd w:val="clear" w:color="auto" w:fill="FFFFFF"/>
        <w:rPr>
          <w:rFonts w:ascii="Calibri" w:hAnsi="Calibri"/>
          <w:color w:val="000000"/>
          <w:sz w:val="22"/>
          <w:szCs w:val="22"/>
        </w:rPr>
      </w:pPr>
      <w:r>
        <w:rPr>
          <w:rFonts w:ascii="Calibri" w:hAnsi="Calibri"/>
          <w:color w:val="000000"/>
          <w:sz w:val="22"/>
          <w:szCs w:val="22"/>
        </w:rPr>
        <w:t> </w:t>
      </w:r>
    </w:p>
    <w:p w:rsidR="006D406C" w:rsidRDefault="006D406C" w:rsidP="006D406C">
      <w:pPr>
        <w:pStyle w:val="NormalWeb"/>
        <w:shd w:val="clear" w:color="auto" w:fill="FFFFFF"/>
        <w:rPr>
          <w:rFonts w:ascii="Calibri" w:hAnsi="Calibri"/>
          <w:color w:val="000000"/>
          <w:sz w:val="22"/>
          <w:szCs w:val="22"/>
        </w:rPr>
      </w:pPr>
      <w:r>
        <w:rPr>
          <w:rFonts w:ascii="Calibri" w:hAnsi="Calibri"/>
          <w:color w:val="000000"/>
          <w:sz w:val="22"/>
          <w:szCs w:val="22"/>
        </w:rPr>
        <w:t xml:space="preserve">It has been brought to my attention that LMC has made an error in a policy implemented with the revised local GE pattern of courses in 2012-13.  The new/revised GE course requirements went into effect in the 2013-2014 catalog year.  </w:t>
      </w:r>
    </w:p>
    <w:p w:rsidR="006D406C" w:rsidRDefault="006D406C" w:rsidP="006D406C">
      <w:pPr>
        <w:pStyle w:val="NormalWeb"/>
        <w:shd w:val="clear" w:color="auto" w:fill="FFFFFF"/>
        <w:rPr>
          <w:rFonts w:ascii="Calibri" w:hAnsi="Calibri"/>
          <w:color w:val="000000"/>
          <w:sz w:val="22"/>
          <w:szCs w:val="22"/>
        </w:rPr>
      </w:pPr>
      <w:r>
        <w:rPr>
          <w:rFonts w:ascii="Calibri" w:hAnsi="Calibri"/>
          <w:color w:val="000000"/>
          <w:sz w:val="22"/>
          <w:szCs w:val="22"/>
        </w:rPr>
        <w:t> </w:t>
      </w:r>
    </w:p>
    <w:p w:rsidR="006D406C" w:rsidRDefault="006D406C" w:rsidP="006D406C">
      <w:pPr>
        <w:pStyle w:val="NormalWeb"/>
        <w:shd w:val="clear" w:color="auto" w:fill="FFFFFF"/>
        <w:rPr>
          <w:rFonts w:ascii="Calibri" w:hAnsi="Calibri"/>
          <w:color w:val="000000"/>
          <w:sz w:val="22"/>
          <w:szCs w:val="22"/>
        </w:rPr>
      </w:pPr>
      <w:r>
        <w:rPr>
          <w:rFonts w:ascii="Calibri" w:hAnsi="Calibri"/>
          <w:color w:val="000000"/>
          <w:sz w:val="22"/>
          <w:szCs w:val="22"/>
        </w:rPr>
        <w:t>Effective in 2013-14 &amp; 2014-15, the LMC College Catalog stated that the following courses ADJUS 160 (Area B), Drama 15 (Area C) and SOCSC 45 (Area B) could double count and satisfy Area E (Ethnic/Multicultural Studies) in addition to their other assigned GE requirement area.  This double counting violates Title 5 General Education Requirements.</w:t>
      </w:r>
    </w:p>
    <w:p w:rsidR="006D406C" w:rsidRDefault="006D406C" w:rsidP="006D406C">
      <w:pPr>
        <w:pStyle w:val="NormalWeb"/>
        <w:shd w:val="clear" w:color="auto" w:fill="FFFFFF"/>
        <w:rPr>
          <w:rFonts w:ascii="Calibri" w:hAnsi="Calibri"/>
          <w:color w:val="000000"/>
          <w:sz w:val="22"/>
          <w:szCs w:val="22"/>
        </w:rPr>
      </w:pPr>
      <w:r>
        <w:rPr>
          <w:rFonts w:ascii="Calibri" w:hAnsi="Calibri"/>
          <w:color w:val="000000"/>
          <w:sz w:val="22"/>
          <w:szCs w:val="22"/>
        </w:rPr>
        <w:t> </w:t>
      </w:r>
    </w:p>
    <w:p w:rsidR="006D406C" w:rsidRDefault="006D406C" w:rsidP="006D406C">
      <w:pPr>
        <w:pStyle w:val="NormalWeb"/>
        <w:shd w:val="clear" w:color="auto" w:fill="FFFFFF"/>
        <w:rPr>
          <w:rFonts w:ascii="Calibri" w:hAnsi="Calibri"/>
          <w:color w:val="000000"/>
          <w:sz w:val="22"/>
          <w:szCs w:val="22"/>
        </w:rPr>
      </w:pPr>
      <w:r>
        <w:rPr>
          <w:rFonts w:ascii="Calibri" w:hAnsi="Calibri"/>
          <w:color w:val="000000"/>
          <w:sz w:val="22"/>
          <w:szCs w:val="22"/>
        </w:rPr>
        <w:t>Title 5 Section 55063. Minimum Requirements for the Associate Degree, states:</w:t>
      </w:r>
    </w:p>
    <w:p w:rsidR="006D406C" w:rsidRDefault="006D406C" w:rsidP="006D406C">
      <w:pPr>
        <w:pStyle w:val="NormalWeb"/>
        <w:shd w:val="clear" w:color="auto" w:fill="FFFFFF"/>
        <w:rPr>
          <w:rFonts w:ascii="Calibri" w:hAnsi="Calibri"/>
          <w:color w:val="000000"/>
          <w:sz w:val="22"/>
          <w:szCs w:val="22"/>
        </w:rPr>
      </w:pPr>
      <w:r>
        <w:rPr>
          <w:rFonts w:ascii="Calibri" w:hAnsi="Calibri"/>
          <w:color w:val="000000"/>
          <w:sz w:val="22"/>
          <w:szCs w:val="22"/>
        </w:rPr>
        <w:t> </w:t>
      </w:r>
    </w:p>
    <w:p w:rsidR="006D406C" w:rsidRDefault="006D406C" w:rsidP="006D406C">
      <w:pPr>
        <w:pStyle w:val="NormalWeb"/>
        <w:shd w:val="clear" w:color="auto" w:fill="FFFFFF"/>
        <w:rPr>
          <w:rFonts w:ascii="Calibri" w:hAnsi="Calibri"/>
          <w:color w:val="000000"/>
          <w:sz w:val="22"/>
          <w:szCs w:val="22"/>
        </w:rPr>
      </w:pPr>
      <w:r>
        <w:rPr>
          <w:rFonts w:ascii="Calibri" w:hAnsi="Calibri"/>
          <w:color w:val="000000"/>
          <w:sz w:val="22"/>
          <w:szCs w:val="22"/>
        </w:rPr>
        <w:t>“…(c) While a course might satisfy more than one general education requirement, it may not be counted more than once for these purposes. A course may be used to satisfy both a general education requirement and a major or area of emphasis requirement…”</w:t>
      </w:r>
    </w:p>
    <w:p w:rsidR="006D406C" w:rsidRDefault="006D406C" w:rsidP="006D406C">
      <w:pPr>
        <w:pStyle w:val="NormalWeb"/>
        <w:shd w:val="clear" w:color="auto" w:fill="FFFFFF"/>
        <w:rPr>
          <w:rFonts w:ascii="Calibri" w:hAnsi="Calibri"/>
          <w:color w:val="000000"/>
          <w:sz w:val="22"/>
          <w:szCs w:val="22"/>
        </w:rPr>
      </w:pPr>
      <w:r>
        <w:rPr>
          <w:rFonts w:ascii="Calibri" w:hAnsi="Calibri"/>
          <w:color w:val="000000"/>
          <w:sz w:val="22"/>
          <w:szCs w:val="22"/>
        </w:rPr>
        <w:t> </w:t>
      </w:r>
    </w:p>
    <w:p w:rsidR="006D406C" w:rsidRDefault="006D406C" w:rsidP="006D406C">
      <w:pPr>
        <w:pStyle w:val="NormalWeb"/>
        <w:shd w:val="clear" w:color="auto" w:fill="FFFFFF"/>
        <w:rPr>
          <w:rFonts w:ascii="Calibri" w:hAnsi="Calibri"/>
          <w:color w:val="000000"/>
          <w:sz w:val="22"/>
          <w:szCs w:val="22"/>
        </w:rPr>
      </w:pPr>
      <w:r>
        <w:rPr>
          <w:rFonts w:ascii="Calibri" w:hAnsi="Calibri"/>
          <w:color w:val="000000"/>
          <w:sz w:val="22"/>
          <w:szCs w:val="22"/>
        </w:rPr>
        <w:t>I informed the Curriculum Committee of this issue at their September 16</w:t>
      </w:r>
      <w:r>
        <w:rPr>
          <w:rFonts w:ascii="Calibri" w:hAnsi="Calibri"/>
          <w:color w:val="000000"/>
          <w:sz w:val="22"/>
          <w:szCs w:val="22"/>
          <w:vertAlign w:val="superscript"/>
        </w:rPr>
        <w:t>th</w:t>
      </w:r>
      <w:r>
        <w:rPr>
          <w:rFonts w:ascii="Calibri" w:hAnsi="Calibri"/>
          <w:color w:val="000000"/>
          <w:sz w:val="22"/>
          <w:szCs w:val="22"/>
        </w:rPr>
        <w:t xml:space="preserve"> meeting (</w:t>
      </w:r>
      <w:hyperlink r:id="rId4" w:history="1">
        <w:r>
          <w:rPr>
            <w:rStyle w:val="Hyperlink"/>
            <w:rFonts w:ascii="Calibri" w:hAnsi="Calibri"/>
            <w:color w:val="0563C1"/>
            <w:sz w:val="22"/>
            <w:szCs w:val="22"/>
          </w:rPr>
          <w:t>http://www.losmedanos.edu/intra-out/cur/documents/Sept16Minutes.docx</w:t>
        </w:r>
      </w:hyperlink>
      <w:r>
        <w:rPr>
          <w:rFonts w:ascii="Calibri" w:hAnsi="Calibri"/>
          <w:color w:val="000000"/>
          <w:sz w:val="22"/>
          <w:szCs w:val="22"/>
        </w:rPr>
        <w:t>).  The GE committee was informed at their recent October 2nd meeting.</w:t>
      </w:r>
    </w:p>
    <w:p w:rsidR="006D406C" w:rsidRDefault="006D406C" w:rsidP="006D406C">
      <w:pPr>
        <w:pStyle w:val="NormalWeb"/>
        <w:shd w:val="clear" w:color="auto" w:fill="FFFFFF"/>
        <w:rPr>
          <w:rFonts w:ascii="Calibri" w:hAnsi="Calibri"/>
          <w:color w:val="000000"/>
          <w:sz w:val="22"/>
          <w:szCs w:val="22"/>
        </w:rPr>
      </w:pPr>
      <w:r>
        <w:rPr>
          <w:rFonts w:ascii="Calibri" w:hAnsi="Calibri"/>
          <w:color w:val="000000"/>
          <w:sz w:val="22"/>
          <w:szCs w:val="22"/>
        </w:rPr>
        <w:t> </w:t>
      </w:r>
    </w:p>
    <w:p w:rsidR="006D406C" w:rsidRDefault="006D406C" w:rsidP="006D406C">
      <w:pPr>
        <w:pStyle w:val="NormalWeb"/>
        <w:shd w:val="clear" w:color="auto" w:fill="FFFFFF"/>
        <w:rPr>
          <w:rFonts w:ascii="Calibri" w:hAnsi="Calibri"/>
          <w:color w:val="000000"/>
          <w:sz w:val="22"/>
          <w:szCs w:val="22"/>
        </w:rPr>
      </w:pPr>
      <w:r>
        <w:rPr>
          <w:rFonts w:ascii="Calibri" w:hAnsi="Calibri"/>
          <w:color w:val="000000"/>
          <w:sz w:val="22"/>
          <w:szCs w:val="22"/>
        </w:rPr>
        <w:t>Effective immediately, the LMC catalog will be updated via the annual addendum to remove the double counting for all LMC general education courses.  This language is found on p.63 of the current 2015-16 catalog.  Additionally, students currently enrolled in ADJUS 160, Drama 15 and/or SOCSC 45 will be notified that these courses may only satisfy one GE requirement and that they should consult with a counselor regarding any necessary changes needed for their educational plans.</w:t>
      </w:r>
    </w:p>
    <w:p w:rsidR="006D406C" w:rsidRDefault="006D406C" w:rsidP="006D406C">
      <w:pPr>
        <w:pStyle w:val="NormalWeb"/>
        <w:shd w:val="clear" w:color="auto" w:fill="FFFFFF"/>
        <w:rPr>
          <w:rFonts w:ascii="Calibri" w:hAnsi="Calibri"/>
          <w:color w:val="000000"/>
          <w:sz w:val="22"/>
          <w:szCs w:val="22"/>
        </w:rPr>
      </w:pPr>
      <w:r>
        <w:rPr>
          <w:rFonts w:ascii="Calibri" w:hAnsi="Calibri"/>
          <w:color w:val="000000"/>
          <w:sz w:val="22"/>
          <w:szCs w:val="22"/>
        </w:rPr>
        <w:t> </w:t>
      </w:r>
    </w:p>
    <w:p w:rsidR="006D406C" w:rsidRDefault="006D406C" w:rsidP="006D406C">
      <w:pPr>
        <w:pStyle w:val="NormalWeb"/>
        <w:shd w:val="clear" w:color="auto" w:fill="FFFFFF"/>
        <w:rPr>
          <w:rFonts w:ascii="Calibri" w:hAnsi="Calibri"/>
          <w:color w:val="000000"/>
          <w:sz w:val="22"/>
          <w:szCs w:val="22"/>
        </w:rPr>
      </w:pPr>
      <w:r>
        <w:rPr>
          <w:rFonts w:ascii="Calibri" w:hAnsi="Calibri"/>
          <w:color w:val="000000"/>
          <w:sz w:val="22"/>
          <w:szCs w:val="22"/>
        </w:rPr>
        <w:t xml:space="preserve">I have consulted with the District Office and it has been determined that we will not retroactively audit any local Associate degrees that were awarded during the 2013-14 and 2014-15 academic years to determine whether or not this error in policy impacted any awarded degrees.  Any students filing for graduation beginning in </w:t>
      </w:r>
      <w:proofErr w:type="gramStart"/>
      <w:r>
        <w:rPr>
          <w:rFonts w:ascii="Calibri" w:hAnsi="Calibri"/>
          <w:color w:val="000000"/>
          <w:sz w:val="22"/>
          <w:szCs w:val="22"/>
        </w:rPr>
        <w:t>Fall</w:t>
      </w:r>
      <w:proofErr w:type="gramEnd"/>
      <w:r>
        <w:rPr>
          <w:rFonts w:ascii="Calibri" w:hAnsi="Calibri"/>
          <w:color w:val="000000"/>
          <w:sz w:val="22"/>
          <w:szCs w:val="22"/>
        </w:rPr>
        <w:t xml:space="preserve"> 2015, however, will be held to the corrected GE requirements for local Associate degrees.</w:t>
      </w:r>
    </w:p>
    <w:p w:rsidR="006D406C" w:rsidRDefault="006D406C" w:rsidP="006D406C">
      <w:pPr>
        <w:pStyle w:val="NormalWeb"/>
        <w:shd w:val="clear" w:color="auto" w:fill="FFFFFF"/>
        <w:rPr>
          <w:rFonts w:ascii="Calibri" w:hAnsi="Calibri"/>
          <w:color w:val="000000"/>
          <w:sz w:val="22"/>
          <w:szCs w:val="22"/>
        </w:rPr>
      </w:pPr>
      <w:r>
        <w:rPr>
          <w:rFonts w:ascii="Calibri" w:hAnsi="Calibri"/>
          <w:color w:val="000000"/>
          <w:sz w:val="22"/>
          <w:szCs w:val="22"/>
        </w:rPr>
        <w:t> </w:t>
      </w:r>
    </w:p>
    <w:p w:rsidR="006D406C" w:rsidRDefault="006D406C" w:rsidP="006D406C">
      <w:pPr>
        <w:pStyle w:val="NormalWeb"/>
        <w:shd w:val="clear" w:color="auto" w:fill="FFFFFF"/>
        <w:rPr>
          <w:rFonts w:ascii="Calibri" w:hAnsi="Calibri"/>
          <w:color w:val="000000"/>
          <w:sz w:val="22"/>
          <w:szCs w:val="22"/>
        </w:rPr>
      </w:pPr>
      <w:r>
        <w:rPr>
          <w:rFonts w:ascii="Calibri" w:hAnsi="Calibri"/>
          <w:color w:val="000000"/>
          <w:sz w:val="22"/>
          <w:szCs w:val="22"/>
        </w:rPr>
        <w:t>Please share this information with the Academic Senate at your next meeting on Monday, October 12, 2015.</w:t>
      </w:r>
    </w:p>
    <w:p w:rsidR="006D406C" w:rsidRDefault="006D406C" w:rsidP="006D406C">
      <w:pPr>
        <w:pStyle w:val="NormalWeb"/>
        <w:shd w:val="clear" w:color="auto" w:fill="FFFFFF"/>
        <w:rPr>
          <w:rFonts w:ascii="Calibri" w:hAnsi="Calibri"/>
          <w:color w:val="000000"/>
          <w:sz w:val="22"/>
          <w:szCs w:val="22"/>
        </w:rPr>
      </w:pPr>
      <w:r>
        <w:rPr>
          <w:rFonts w:ascii="Calibri" w:hAnsi="Calibri"/>
          <w:color w:val="000000"/>
          <w:sz w:val="22"/>
          <w:szCs w:val="22"/>
        </w:rPr>
        <w:t> </w:t>
      </w:r>
    </w:p>
    <w:p w:rsidR="006D406C" w:rsidRDefault="006D406C" w:rsidP="006D406C">
      <w:pPr>
        <w:pStyle w:val="NormalWeb"/>
        <w:shd w:val="clear" w:color="auto" w:fill="FFFFFF"/>
        <w:rPr>
          <w:rFonts w:ascii="Calibri" w:hAnsi="Calibri"/>
          <w:color w:val="000000"/>
          <w:sz w:val="22"/>
          <w:szCs w:val="22"/>
        </w:rPr>
      </w:pPr>
      <w:r>
        <w:rPr>
          <w:rFonts w:ascii="Calibri" w:hAnsi="Calibri"/>
          <w:color w:val="000000"/>
          <w:sz w:val="22"/>
          <w:szCs w:val="22"/>
        </w:rPr>
        <w:t>Sincerely,</w:t>
      </w:r>
    </w:p>
    <w:p w:rsidR="006D406C" w:rsidRDefault="006D406C" w:rsidP="006D406C">
      <w:pPr>
        <w:pStyle w:val="NormalWeb"/>
        <w:shd w:val="clear" w:color="auto" w:fill="FFFFFF"/>
        <w:rPr>
          <w:rFonts w:ascii="Calibri" w:hAnsi="Calibri"/>
          <w:color w:val="000000"/>
          <w:sz w:val="22"/>
          <w:szCs w:val="22"/>
        </w:rPr>
      </w:pPr>
      <w:r>
        <w:rPr>
          <w:rFonts w:ascii="Calibri" w:hAnsi="Calibri"/>
          <w:color w:val="000000"/>
          <w:sz w:val="22"/>
          <w:szCs w:val="22"/>
        </w:rPr>
        <w:t>Kevin</w:t>
      </w:r>
    </w:p>
    <w:p w:rsidR="006D406C" w:rsidRDefault="006D406C" w:rsidP="006D406C">
      <w:pPr>
        <w:pStyle w:val="NormalWeb"/>
        <w:shd w:val="clear" w:color="auto" w:fill="FFFFFF"/>
        <w:rPr>
          <w:rFonts w:ascii="Calibri" w:hAnsi="Calibri"/>
          <w:color w:val="000000"/>
          <w:sz w:val="22"/>
          <w:szCs w:val="22"/>
        </w:rPr>
      </w:pPr>
      <w:r>
        <w:rPr>
          <w:rFonts w:ascii="Calibri" w:hAnsi="Calibri"/>
          <w:color w:val="000000"/>
          <w:sz w:val="22"/>
          <w:szCs w:val="22"/>
        </w:rPr>
        <w:t> </w:t>
      </w:r>
    </w:p>
    <w:p w:rsidR="006D406C" w:rsidRDefault="006D406C" w:rsidP="006D406C">
      <w:pPr>
        <w:pStyle w:val="NormalWeb"/>
        <w:shd w:val="clear" w:color="auto" w:fill="FFFFFF"/>
        <w:rPr>
          <w:rFonts w:ascii="Calibri" w:hAnsi="Calibri"/>
          <w:color w:val="000000"/>
          <w:sz w:val="22"/>
          <w:szCs w:val="22"/>
        </w:rPr>
      </w:pPr>
      <w:r>
        <w:rPr>
          <w:rFonts w:ascii="Calibri" w:hAnsi="Calibri"/>
          <w:color w:val="000000"/>
          <w:sz w:val="22"/>
          <w:szCs w:val="22"/>
        </w:rPr>
        <w:t xml:space="preserve">Kevin Horan, </w:t>
      </w:r>
      <w:proofErr w:type="spellStart"/>
      <w:r>
        <w:rPr>
          <w:rFonts w:ascii="Calibri" w:hAnsi="Calibri"/>
          <w:color w:val="000000"/>
          <w:sz w:val="22"/>
          <w:szCs w:val="22"/>
        </w:rPr>
        <w:t>Ed.D</w:t>
      </w:r>
      <w:proofErr w:type="spellEnd"/>
      <w:r>
        <w:rPr>
          <w:rFonts w:ascii="Calibri" w:hAnsi="Calibri"/>
          <w:color w:val="000000"/>
          <w:sz w:val="22"/>
          <w:szCs w:val="22"/>
        </w:rPr>
        <w:t>.</w:t>
      </w:r>
    </w:p>
    <w:p w:rsidR="006D406C" w:rsidRDefault="006D406C" w:rsidP="006D406C">
      <w:pPr>
        <w:pStyle w:val="NormalWeb"/>
        <w:shd w:val="clear" w:color="auto" w:fill="FFFFFF"/>
        <w:rPr>
          <w:rFonts w:ascii="Calibri" w:hAnsi="Calibri"/>
          <w:color w:val="000000"/>
          <w:sz w:val="22"/>
          <w:szCs w:val="22"/>
        </w:rPr>
      </w:pPr>
      <w:r>
        <w:rPr>
          <w:rFonts w:ascii="Calibri" w:hAnsi="Calibri"/>
          <w:color w:val="000000"/>
          <w:sz w:val="22"/>
          <w:szCs w:val="22"/>
        </w:rPr>
        <w:t>Vice President, Instruction &amp; Student Services</w:t>
      </w:r>
    </w:p>
    <w:p w:rsidR="006D406C" w:rsidRDefault="006D406C" w:rsidP="006D406C">
      <w:pPr>
        <w:pStyle w:val="NormalWeb"/>
        <w:shd w:val="clear" w:color="auto" w:fill="FFFFFF"/>
        <w:rPr>
          <w:rFonts w:ascii="Calibri" w:hAnsi="Calibri"/>
          <w:color w:val="000000"/>
          <w:sz w:val="22"/>
          <w:szCs w:val="22"/>
        </w:rPr>
      </w:pPr>
      <w:r>
        <w:rPr>
          <w:rFonts w:ascii="Verdana" w:hAnsi="Verdana"/>
          <w:b/>
          <w:bCs/>
          <w:noProof/>
          <w:color w:val="0000FD"/>
          <w:sz w:val="18"/>
          <w:szCs w:val="18"/>
        </w:rPr>
        <w:drawing>
          <wp:inline distT="0" distB="0" distL="0" distR="0">
            <wp:extent cx="1188720" cy="416052"/>
            <wp:effectExtent l="0" t="0" r="0" b="3175"/>
            <wp:docPr id="1" name="Picture 1" descr="Description: cid:3429602218_45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d:3429602218_45178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17655" cy="426179"/>
                    </a:xfrm>
                    <a:prstGeom prst="rect">
                      <a:avLst/>
                    </a:prstGeom>
                    <a:noFill/>
                    <a:ln>
                      <a:noFill/>
                    </a:ln>
                  </pic:spPr>
                </pic:pic>
              </a:graphicData>
            </a:graphic>
          </wp:inline>
        </w:drawing>
      </w:r>
    </w:p>
    <w:p w:rsidR="006D406C" w:rsidRDefault="006D406C" w:rsidP="006D406C">
      <w:pPr>
        <w:pStyle w:val="NormalWeb"/>
        <w:shd w:val="clear" w:color="auto" w:fill="FFFFFF"/>
        <w:rPr>
          <w:rFonts w:ascii="Calibri" w:hAnsi="Calibri"/>
          <w:color w:val="000000"/>
          <w:sz w:val="22"/>
          <w:szCs w:val="22"/>
        </w:rPr>
      </w:pPr>
      <w:r>
        <w:rPr>
          <w:rFonts w:ascii="Calibri" w:hAnsi="Calibri"/>
          <w:color w:val="000000"/>
          <w:sz w:val="22"/>
          <w:szCs w:val="22"/>
        </w:rPr>
        <w:t>2700 E. Leland Road</w:t>
      </w:r>
    </w:p>
    <w:p w:rsidR="006D406C" w:rsidRDefault="006D406C" w:rsidP="006D406C">
      <w:pPr>
        <w:pStyle w:val="NormalWeb"/>
        <w:shd w:val="clear" w:color="auto" w:fill="FFFFFF"/>
        <w:rPr>
          <w:rFonts w:ascii="Calibri" w:hAnsi="Calibri"/>
          <w:color w:val="000000"/>
          <w:sz w:val="22"/>
          <w:szCs w:val="22"/>
        </w:rPr>
      </w:pPr>
      <w:r>
        <w:rPr>
          <w:rFonts w:ascii="Calibri" w:hAnsi="Calibri"/>
          <w:color w:val="000000"/>
          <w:sz w:val="22"/>
          <w:szCs w:val="22"/>
        </w:rPr>
        <w:t>Pittsburg, CA  94565</w:t>
      </w:r>
    </w:p>
    <w:p w:rsidR="006D406C" w:rsidRDefault="006D406C" w:rsidP="006D406C">
      <w:pPr>
        <w:pStyle w:val="NormalWeb"/>
        <w:shd w:val="clear" w:color="auto" w:fill="FFFFFF"/>
        <w:rPr>
          <w:rFonts w:ascii="Calibri" w:hAnsi="Calibri"/>
          <w:color w:val="000000"/>
          <w:sz w:val="22"/>
          <w:szCs w:val="22"/>
        </w:rPr>
      </w:pPr>
      <w:r>
        <w:rPr>
          <w:rFonts w:ascii="Calibri" w:hAnsi="Calibri"/>
          <w:b/>
          <w:bCs/>
          <w:color w:val="000000"/>
          <w:sz w:val="22"/>
          <w:szCs w:val="22"/>
        </w:rPr>
        <w:t>(925) 473-7401</w:t>
      </w:r>
      <w:r>
        <w:rPr>
          <w:rFonts w:ascii="Calibri" w:hAnsi="Calibri"/>
          <w:b/>
          <w:bCs/>
          <w:color w:val="C00000"/>
          <w:sz w:val="22"/>
          <w:szCs w:val="22"/>
        </w:rPr>
        <w:t xml:space="preserve"> (new phone number)</w:t>
      </w:r>
    </w:p>
    <w:p w:rsidR="00BC1FED" w:rsidRPr="006D406C" w:rsidRDefault="006D406C" w:rsidP="006D406C">
      <w:pPr>
        <w:pStyle w:val="NormalWeb"/>
        <w:shd w:val="clear" w:color="auto" w:fill="FFFFFF"/>
        <w:rPr>
          <w:rFonts w:ascii="Calibri" w:hAnsi="Calibri"/>
          <w:color w:val="000000"/>
          <w:sz w:val="22"/>
          <w:szCs w:val="22"/>
        </w:rPr>
      </w:pPr>
      <w:hyperlink r:id="rId7" w:history="1">
        <w:r>
          <w:rPr>
            <w:rStyle w:val="Hyperlink"/>
            <w:rFonts w:ascii="Calibri" w:hAnsi="Calibri"/>
            <w:color w:val="0563C1"/>
            <w:sz w:val="22"/>
            <w:szCs w:val="22"/>
          </w:rPr>
          <w:t>khoran@losmedanos.edu</w:t>
        </w:r>
      </w:hyperlink>
    </w:p>
    <w:sectPr w:rsidR="00BC1FED" w:rsidRPr="006D406C" w:rsidSect="006D406C">
      <w:pgSz w:w="12240" w:h="15840"/>
      <w:pgMar w:top="540" w:right="990"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6C"/>
    <w:rsid w:val="006D406C"/>
    <w:rsid w:val="00BC1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0AD09-96DF-4292-9DC2-DAC156BA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06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06C"/>
    <w:rPr>
      <w:color w:val="0000FF"/>
      <w:u w:val="single"/>
    </w:rPr>
  </w:style>
  <w:style w:type="paragraph" w:styleId="NormalWeb">
    <w:name w:val="Normal (Web)"/>
    <w:basedOn w:val="Normal"/>
    <w:uiPriority w:val="99"/>
    <w:unhideWhenUsed/>
    <w:rsid w:val="006D4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64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horan@losmedano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gif@01D1003A.CD4C2E00" TargetMode="External"/><Relationship Id="rId5" Type="http://schemas.openxmlformats.org/officeDocument/2006/relationships/image" Target="media/image1.gif"/><Relationship Id="rId4" Type="http://schemas.openxmlformats.org/officeDocument/2006/relationships/hyperlink" Target="http://www.losmedanos.edu/intra-out/cur/documents/Sept16Minutes.doc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2015-10-22T16:26:00Z</dcterms:created>
  <dcterms:modified xsi:type="dcterms:W3CDTF">2015-10-22T16:30:00Z</dcterms:modified>
</cp:coreProperties>
</file>