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476514171" w:displacedByCustomXml="next"/>
    <w:sdt>
      <w:sdtPr>
        <w:rPr>
          <w:rFonts w:asciiTheme="minorHAnsi" w:hAnsiTheme="minorHAnsi" w:cstheme="minorBidi"/>
          <w:b w:val="0"/>
          <w:bCs/>
        </w:rPr>
        <w:id w:val="-56713971"/>
        <w:docPartObj>
          <w:docPartGallery w:val="Table of Contents"/>
          <w:docPartUnique/>
        </w:docPartObj>
      </w:sdtPr>
      <w:sdtEndPr>
        <w:rPr>
          <w:bCs w:val="0"/>
          <w:noProof/>
        </w:rPr>
      </w:sdtEndPr>
      <w:sdtContent>
        <w:p w14:paraId="57EB15BB" w14:textId="4CFEB38A" w:rsidR="00A53151" w:rsidRPr="008156C9" w:rsidRDefault="00A53151" w:rsidP="009C6B49">
          <w:pPr>
            <w:pStyle w:val="Heading2"/>
          </w:pPr>
          <w:r w:rsidRPr="008156C9">
            <w:t>Table of Contents</w:t>
          </w:r>
          <w:bookmarkEnd w:id="1"/>
        </w:p>
        <w:p w14:paraId="56FBC210" w14:textId="77777777" w:rsidR="008B23B1" w:rsidRPr="008156C9" w:rsidRDefault="00A53151">
          <w:pPr>
            <w:pStyle w:val="TOC2"/>
            <w:tabs>
              <w:tab w:val="right" w:leader="dot" w:pos="9350"/>
            </w:tabs>
            <w:rPr>
              <w:rFonts w:ascii="Times New Roman" w:eastAsiaTheme="minorEastAsia" w:hAnsi="Times New Roman" w:cs="Times New Roman"/>
              <w:smallCaps w:val="0"/>
              <w:noProof/>
              <w:sz w:val="24"/>
              <w:szCs w:val="24"/>
            </w:rPr>
          </w:pPr>
          <w:r w:rsidRPr="008156C9">
            <w:rPr>
              <w:rFonts w:ascii="Times New Roman" w:hAnsi="Times New Roman" w:cs="Times New Roman"/>
              <w:caps/>
              <w:sz w:val="24"/>
              <w:szCs w:val="24"/>
            </w:rPr>
            <w:fldChar w:fldCharType="begin"/>
          </w:r>
          <w:r w:rsidRPr="008156C9">
            <w:rPr>
              <w:rFonts w:ascii="Times New Roman" w:hAnsi="Times New Roman" w:cs="Times New Roman"/>
              <w:sz w:val="24"/>
              <w:szCs w:val="24"/>
            </w:rPr>
            <w:instrText xml:space="preserve"> TOC \o "1-3" \h \z \u </w:instrText>
          </w:r>
          <w:r w:rsidRPr="008156C9">
            <w:rPr>
              <w:rFonts w:ascii="Times New Roman" w:hAnsi="Times New Roman" w:cs="Times New Roman"/>
              <w:caps/>
              <w:sz w:val="24"/>
              <w:szCs w:val="24"/>
            </w:rPr>
            <w:fldChar w:fldCharType="separate"/>
          </w:r>
          <w:hyperlink w:anchor="_Toc476514171" w:history="1">
            <w:r w:rsidR="008B23B1" w:rsidRPr="008156C9">
              <w:rPr>
                <w:rStyle w:val="Hyperlink"/>
                <w:rFonts w:ascii="Times New Roman" w:hAnsi="Times New Roman" w:cs="Times New Roman"/>
                <w:noProof/>
                <w:sz w:val="24"/>
                <w:szCs w:val="24"/>
              </w:rPr>
              <w:t>Table of Contents</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_Toc476514171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1</w:t>
            </w:r>
            <w:r w:rsidR="008B23B1" w:rsidRPr="008156C9">
              <w:rPr>
                <w:rFonts w:ascii="Times New Roman" w:hAnsi="Times New Roman" w:cs="Times New Roman"/>
                <w:noProof/>
                <w:webHidden/>
                <w:sz w:val="24"/>
                <w:szCs w:val="24"/>
              </w:rPr>
              <w:fldChar w:fldCharType="end"/>
            </w:r>
          </w:hyperlink>
        </w:p>
        <w:p w14:paraId="1350D2D5" w14:textId="77777777" w:rsidR="008B23B1" w:rsidRPr="008156C9" w:rsidRDefault="00DF142F">
          <w:pPr>
            <w:pStyle w:val="TOC1"/>
            <w:tabs>
              <w:tab w:val="left" w:pos="720"/>
              <w:tab w:val="right" w:leader="dot" w:pos="9350"/>
            </w:tabs>
            <w:rPr>
              <w:rFonts w:ascii="Times New Roman" w:eastAsiaTheme="minorEastAsia" w:hAnsi="Times New Roman" w:cs="Times New Roman"/>
              <w:b w:val="0"/>
              <w:bCs w:val="0"/>
              <w:caps w:val="0"/>
              <w:noProof/>
              <w:sz w:val="24"/>
              <w:szCs w:val="24"/>
            </w:rPr>
          </w:pPr>
          <w:hyperlink w:anchor="_Toc476514172" w:history="1">
            <w:r w:rsidR="008B23B1" w:rsidRPr="008156C9">
              <w:rPr>
                <w:rStyle w:val="Hyperlink"/>
                <w:rFonts w:ascii="Times New Roman" w:hAnsi="Times New Roman" w:cs="Times New Roman"/>
                <w:noProof/>
                <w:sz w:val="24"/>
                <w:szCs w:val="24"/>
              </w:rPr>
              <w:t>3.0</w:t>
            </w:r>
            <w:r w:rsidR="008B23B1" w:rsidRPr="008156C9">
              <w:rPr>
                <w:rFonts w:ascii="Times New Roman" w:eastAsiaTheme="minorEastAsia" w:hAnsi="Times New Roman" w:cs="Times New Roman"/>
                <w:b w:val="0"/>
                <w:bCs w:val="0"/>
                <w:caps w:val="0"/>
                <w:noProof/>
                <w:sz w:val="24"/>
                <w:szCs w:val="24"/>
              </w:rPr>
              <w:tab/>
            </w:r>
            <w:r w:rsidR="008B23B1" w:rsidRPr="008156C9">
              <w:rPr>
                <w:rStyle w:val="Hyperlink"/>
                <w:rFonts w:ascii="Times New Roman" w:hAnsi="Times New Roman" w:cs="Times New Roman"/>
                <w:noProof/>
                <w:sz w:val="24"/>
                <w:szCs w:val="24"/>
              </w:rPr>
              <w:t>EQUITY AND DIVERSITY</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_Toc476514172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2</w:t>
            </w:r>
            <w:r w:rsidR="008B23B1" w:rsidRPr="008156C9">
              <w:rPr>
                <w:rFonts w:ascii="Times New Roman" w:hAnsi="Times New Roman" w:cs="Times New Roman"/>
                <w:noProof/>
                <w:webHidden/>
                <w:sz w:val="24"/>
                <w:szCs w:val="24"/>
              </w:rPr>
              <w:fldChar w:fldCharType="end"/>
            </w:r>
          </w:hyperlink>
        </w:p>
        <w:p w14:paraId="1EB4E1E4" w14:textId="77777777" w:rsidR="008B23B1" w:rsidRPr="008156C9" w:rsidRDefault="00DF142F" w:rsidP="008B23B1">
          <w:pPr>
            <w:pStyle w:val="TOC2"/>
            <w:tabs>
              <w:tab w:val="left" w:pos="1200"/>
              <w:tab w:val="right" w:leader="dot" w:pos="9350"/>
            </w:tabs>
            <w:ind w:left="1200" w:hanging="960"/>
            <w:rPr>
              <w:rFonts w:ascii="Times New Roman" w:eastAsiaTheme="minorEastAsia" w:hAnsi="Times New Roman" w:cs="Times New Roman"/>
              <w:smallCaps w:val="0"/>
              <w:noProof/>
              <w:sz w:val="24"/>
              <w:szCs w:val="24"/>
            </w:rPr>
          </w:pPr>
          <w:hyperlink w:anchor="_Toc476514173" w:history="1">
            <w:r w:rsidR="008B23B1" w:rsidRPr="008156C9">
              <w:rPr>
                <w:rStyle w:val="Hyperlink"/>
                <w:rFonts w:ascii="Times New Roman" w:hAnsi="Times New Roman" w:cs="Times New Roman"/>
                <w:noProof/>
                <w:sz w:val="24"/>
                <w:szCs w:val="24"/>
              </w:rPr>
              <w:t>*3.01</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 xml:space="preserve">S17 Revise the Paper </w:t>
            </w:r>
            <w:r w:rsidR="008B23B1" w:rsidRPr="008156C9">
              <w:rPr>
                <w:rStyle w:val="Hyperlink"/>
                <w:rFonts w:ascii="Times New Roman" w:hAnsi="Times New Roman" w:cs="Times New Roman"/>
                <w:i/>
                <w:noProof/>
                <w:sz w:val="24"/>
                <w:szCs w:val="24"/>
              </w:rPr>
              <w:t>A Re-examination of Faculty Hiring Processes and Procedures</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_Toc476514173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2</w:t>
            </w:r>
            <w:r w:rsidR="008B23B1" w:rsidRPr="008156C9">
              <w:rPr>
                <w:rFonts w:ascii="Times New Roman" w:hAnsi="Times New Roman" w:cs="Times New Roman"/>
                <w:noProof/>
                <w:webHidden/>
                <w:sz w:val="24"/>
                <w:szCs w:val="24"/>
              </w:rPr>
              <w:fldChar w:fldCharType="end"/>
            </w:r>
          </w:hyperlink>
        </w:p>
        <w:p w14:paraId="1C4A9743" w14:textId="77777777" w:rsidR="008B23B1" w:rsidRPr="008156C9" w:rsidRDefault="00DF142F">
          <w:pPr>
            <w:pStyle w:val="TOC2"/>
            <w:tabs>
              <w:tab w:val="left" w:pos="1200"/>
              <w:tab w:val="right" w:leader="dot" w:pos="9350"/>
            </w:tabs>
            <w:rPr>
              <w:rFonts w:ascii="Times New Roman" w:eastAsiaTheme="minorEastAsia" w:hAnsi="Times New Roman" w:cs="Times New Roman"/>
              <w:smallCaps w:val="0"/>
              <w:noProof/>
              <w:sz w:val="24"/>
              <w:szCs w:val="24"/>
            </w:rPr>
          </w:pPr>
          <w:hyperlink w:anchor="_Toc476514174" w:history="1">
            <w:r w:rsidR="008B23B1" w:rsidRPr="008156C9">
              <w:rPr>
                <w:rStyle w:val="Hyperlink"/>
                <w:rFonts w:ascii="Times New Roman" w:hAnsi="Times New Roman" w:cs="Times New Roman"/>
                <w:noProof/>
                <w:sz w:val="24"/>
                <w:szCs w:val="24"/>
              </w:rPr>
              <w:t>*3.02</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Support for Marginalized Students</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_Toc476514174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2</w:t>
            </w:r>
            <w:r w:rsidR="008B23B1" w:rsidRPr="008156C9">
              <w:rPr>
                <w:rFonts w:ascii="Times New Roman" w:hAnsi="Times New Roman" w:cs="Times New Roman"/>
                <w:noProof/>
                <w:webHidden/>
                <w:sz w:val="24"/>
                <w:szCs w:val="24"/>
              </w:rPr>
              <w:fldChar w:fldCharType="end"/>
            </w:r>
          </w:hyperlink>
        </w:p>
        <w:p w14:paraId="749997FD" w14:textId="77777777" w:rsidR="008B23B1" w:rsidRPr="008156C9" w:rsidRDefault="00DF142F" w:rsidP="008B23B1">
          <w:pPr>
            <w:pStyle w:val="TOC2"/>
            <w:tabs>
              <w:tab w:val="left" w:pos="1200"/>
              <w:tab w:val="right" w:leader="dot" w:pos="9350"/>
            </w:tabs>
            <w:ind w:left="1200" w:hanging="960"/>
            <w:rPr>
              <w:rFonts w:ascii="Times New Roman" w:eastAsiaTheme="minorEastAsia" w:hAnsi="Times New Roman" w:cs="Times New Roman"/>
              <w:smallCaps w:val="0"/>
              <w:noProof/>
              <w:sz w:val="24"/>
              <w:szCs w:val="24"/>
            </w:rPr>
          </w:pPr>
          <w:hyperlink w:anchor="_Toc476514175" w:history="1">
            <w:r w:rsidR="008B23B1" w:rsidRPr="008156C9">
              <w:rPr>
                <w:rStyle w:val="Hyperlink"/>
                <w:rFonts w:ascii="Times New Roman" w:hAnsi="Times New Roman" w:cs="Times New Roman"/>
                <w:noProof/>
                <w:sz w:val="24"/>
                <w:szCs w:val="24"/>
              </w:rPr>
              <w:t>*3.03</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Support for Students with Deferred Action for Childhood Arrivals (DACA) Status</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_Toc476514175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3</w:t>
            </w:r>
            <w:r w:rsidR="008B23B1" w:rsidRPr="008156C9">
              <w:rPr>
                <w:rFonts w:ascii="Times New Roman" w:hAnsi="Times New Roman" w:cs="Times New Roman"/>
                <w:noProof/>
                <w:webHidden/>
                <w:sz w:val="24"/>
                <w:szCs w:val="24"/>
              </w:rPr>
              <w:fldChar w:fldCharType="end"/>
            </w:r>
          </w:hyperlink>
        </w:p>
        <w:p w14:paraId="4368BD05" w14:textId="77777777" w:rsidR="008B23B1" w:rsidRPr="008156C9" w:rsidRDefault="00DF142F">
          <w:pPr>
            <w:pStyle w:val="TOC1"/>
            <w:tabs>
              <w:tab w:val="left" w:pos="720"/>
              <w:tab w:val="right" w:leader="dot" w:pos="9350"/>
            </w:tabs>
            <w:rPr>
              <w:rFonts w:ascii="Times New Roman" w:eastAsiaTheme="minorEastAsia" w:hAnsi="Times New Roman" w:cs="Times New Roman"/>
              <w:b w:val="0"/>
              <w:bCs w:val="0"/>
              <w:caps w:val="0"/>
              <w:noProof/>
              <w:sz w:val="24"/>
              <w:szCs w:val="24"/>
            </w:rPr>
          </w:pPr>
          <w:hyperlink w:anchor="_Toc476514176" w:history="1">
            <w:r w:rsidR="008B23B1" w:rsidRPr="008156C9">
              <w:rPr>
                <w:rStyle w:val="Hyperlink"/>
                <w:rFonts w:ascii="Times New Roman" w:hAnsi="Times New Roman" w:cs="Times New Roman"/>
                <w:noProof/>
                <w:sz w:val="24"/>
                <w:szCs w:val="24"/>
              </w:rPr>
              <w:t>5.0</w:t>
            </w:r>
            <w:r w:rsidR="008B23B1" w:rsidRPr="008156C9">
              <w:rPr>
                <w:rFonts w:ascii="Times New Roman" w:eastAsiaTheme="minorEastAsia" w:hAnsi="Times New Roman" w:cs="Times New Roman"/>
                <w:b w:val="0"/>
                <w:bCs w:val="0"/>
                <w:caps w:val="0"/>
                <w:noProof/>
                <w:sz w:val="24"/>
                <w:szCs w:val="24"/>
              </w:rPr>
              <w:tab/>
            </w:r>
            <w:r w:rsidR="008B23B1" w:rsidRPr="008156C9">
              <w:rPr>
                <w:rStyle w:val="Hyperlink"/>
                <w:rFonts w:ascii="Times New Roman" w:hAnsi="Times New Roman" w:cs="Times New Roman"/>
                <w:noProof/>
                <w:sz w:val="24"/>
                <w:szCs w:val="24"/>
              </w:rPr>
              <w:t>BUDGET AND FINANCE</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_Toc476514176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4</w:t>
            </w:r>
            <w:r w:rsidR="008B23B1" w:rsidRPr="008156C9">
              <w:rPr>
                <w:rFonts w:ascii="Times New Roman" w:hAnsi="Times New Roman" w:cs="Times New Roman"/>
                <w:noProof/>
                <w:webHidden/>
                <w:sz w:val="24"/>
                <w:szCs w:val="24"/>
              </w:rPr>
              <w:fldChar w:fldCharType="end"/>
            </w:r>
          </w:hyperlink>
        </w:p>
        <w:p w14:paraId="24284940" w14:textId="77777777" w:rsidR="008B23B1" w:rsidRPr="008156C9" w:rsidRDefault="00DF142F">
          <w:pPr>
            <w:pStyle w:val="TOC2"/>
            <w:tabs>
              <w:tab w:val="left" w:pos="1200"/>
              <w:tab w:val="right" w:leader="dot" w:pos="9350"/>
            </w:tabs>
            <w:rPr>
              <w:rFonts w:ascii="Times New Roman" w:eastAsiaTheme="minorEastAsia" w:hAnsi="Times New Roman" w:cs="Times New Roman"/>
              <w:smallCaps w:val="0"/>
              <w:noProof/>
              <w:sz w:val="24"/>
              <w:szCs w:val="24"/>
            </w:rPr>
          </w:pPr>
          <w:hyperlink w:anchor="_Toc476514177" w:history="1">
            <w:r w:rsidR="008B23B1" w:rsidRPr="008156C9">
              <w:rPr>
                <w:rStyle w:val="Hyperlink"/>
                <w:rFonts w:ascii="Times New Roman" w:hAnsi="Times New Roman" w:cs="Times New Roman"/>
                <w:noProof/>
                <w:sz w:val="24"/>
                <w:szCs w:val="24"/>
              </w:rPr>
              <w:t>*5.01</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Sustainable Funding for Inmate Education Programs</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_Toc476514177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4</w:t>
            </w:r>
            <w:r w:rsidR="008B23B1" w:rsidRPr="008156C9">
              <w:rPr>
                <w:rFonts w:ascii="Times New Roman" w:hAnsi="Times New Roman" w:cs="Times New Roman"/>
                <w:noProof/>
                <w:webHidden/>
                <w:sz w:val="24"/>
                <w:szCs w:val="24"/>
              </w:rPr>
              <w:fldChar w:fldCharType="end"/>
            </w:r>
          </w:hyperlink>
        </w:p>
        <w:p w14:paraId="388EED53" w14:textId="77777777" w:rsidR="008B23B1" w:rsidRPr="008156C9" w:rsidRDefault="00DF142F">
          <w:pPr>
            <w:pStyle w:val="TOC1"/>
            <w:tabs>
              <w:tab w:val="left" w:pos="720"/>
              <w:tab w:val="right" w:leader="dot" w:pos="9350"/>
            </w:tabs>
            <w:rPr>
              <w:rFonts w:ascii="Times New Roman" w:eastAsiaTheme="minorEastAsia" w:hAnsi="Times New Roman" w:cs="Times New Roman"/>
              <w:b w:val="0"/>
              <w:bCs w:val="0"/>
              <w:caps w:val="0"/>
              <w:noProof/>
              <w:sz w:val="24"/>
              <w:szCs w:val="24"/>
            </w:rPr>
          </w:pPr>
          <w:hyperlink w:anchor="_Toc476514178" w:history="1">
            <w:r w:rsidR="008B23B1" w:rsidRPr="008156C9">
              <w:rPr>
                <w:rStyle w:val="Hyperlink"/>
                <w:rFonts w:ascii="Times New Roman" w:hAnsi="Times New Roman" w:cs="Times New Roman"/>
                <w:noProof/>
                <w:sz w:val="24"/>
                <w:szCs w:val="24"/>
              </w:rPr>
              <w:t>6.0</w:t>
            </w:r>
            <w:r w:rsidR="008B23B1" w:rsidRPr="008156C9">
              <w:rPr>
                <w:rFonts w:ascii="Times New Roman" w:eastAsiaTheme="minorEastAsia" w:hAnsi="Times New Roman" w:cs="Times New Roman"/>
                <w:b w:val="0"/>
                <w:bCs w:val="0"/>
                <w:caps w:val="0"/>
                <w:noProof/>
                <w:sz w:val="24"/>
                <w:szCs w:val="24"/>
              </w:rPr>
              <w:tab/>
            </w:r>
            <w:r w:rsidR="008B23B1" w:rsidRPr="008156C9">
              <w:rPr>
                <w:rStyle w:val="Hyperlink"/>
                <w:rFonts w:ascii="Times New Roman" w:hAnsi="Times New Roman" w:cs="Times New Roman"/>
                <w:noProof/>
                <w:sz w:val="24"/>
                <w:szCs w:val="24"/>
              </w:rPr>
              <w:t>STATE AND LEGISLATIVE ISSUES</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_Toc476514178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4</w:t>
            </w:r>
            <w:r w:rsidR="008B23B1" w:rsidRPr="008156C9">
              <w:rPr>
                <w:rFonts w:ascii="Times New Roman" w:hAnsi="Times New Roman" w:cs="Times New Roman"/>
                <w:noProof/>
                <w:webHidden/>
                <w:sz w:val="24"/>
                <w:szCs w:val="24"/>
              </w:rPr>
              <w:fldChar w:fldCharType="end"/>
            </w:r>
          </w:hyperlink>
        </w:p>
        <w:p w14:paraId="5E335128" w14:textId="77777777" w:rsidR="008B23B1" w:rsidRPr="008156C9" w:rsidRDefault="00DF142F">
          <w:pPr>
            <w:pStyle w:val="TOC2"/>
            <w:tabs>
              <w:tab w:val="left" w:pos="1200"/>
              <w:tab w:val="right" w:leader="dot" w:pos="9350"/>
            </w:tabs>
            <w:rPr>
              <w:rFonts w:ascii="Times New Roman" w:eastAsiaTheme="minorEastAsia" w:hAnsi="Times New Roman" w:cs="Times New Roman"/>
              <w:smallCaps w:val="0"/>
              <w:noProof/>
              <w:sz w:val="24"/>
              <w:szCs w:val="24"/>
            </w:rPr>
          </w:pPr>
          <w:hyperlink w:anchor="_Toc476514179" w:history="1">
            <w:r w:rsidR="008B23B1" w:rsidRPr="008156C9">
              <w:rPr>
                <w:rStyle w:val="Hyperlink"/>
                <w:rFonts w:ascii="Times New Roman" w:hAnsi="Times New Roman" w:cs="Times New Roman"/>
                <w:noProof/>
                <w:sz w:val="24"/>
                <w:szCs w:val="24"/>
              </w:rPr>
              <w:t>*6.01</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Support for AB204 (Medina, January 23, 2017)</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_Toc476514179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4</w:t>
            </w:r>
            <w:r w:rsidR="008B23B1" w:rsidRPr="008156C9">
              <w:rPr>
                <w:rFonts w:ascii="Times New Roman" w:hAnsi="Times New Roman" w:cs="Times New Roman"/>
                <w:noProof/>
                <w:webHidden/>
                <w:sz w:val="24"/>
                <w:szCs w:val="24"/>
              </w:rPr>
              <w:fldChar w:fldCharType="end"/>
            </w:r>
          </w:hyperlink>
        </w:p>
        <w:p w14:paraId="71BD5AB9" w14:textId="77777777" w:rsidR="008B23B1" w:rsidRPr="008156C9" w:rsidRDefault="00DF142F">
          <w:pPr>
            <w:pStyle w:val="TOC1"/>
            <w:tabs>
              <w:tab w:val="left" w:pos="720"/>
              <w:tab w:val="right" w:leader="dot" w:pos="9350"/>
            </w:tabs>
            <w:rPr>
              <w:rFonts w:ascii="Times New Roman" w:eastAsiaTheme="minorEastAsia" w:hAnsi="Times New Roman" w:cs="Times New Roman"/>
              <w:b w:val="0"/>
              <w:bCs w:val="0"/>
              <w:caps w:val="0"/>
              <w:noProof/>
              <w:sz w:val="24"/>
              <w:szCs w:val="24"/>
            </w:rPr>
          </w:pPr>
          <w:hyperlink w:anchor="_Toc476514180" w:history="1">
            <w:r w:rsidR="008B23B1" w:rsidRPr="008156C9">
              <w:rPr>
                <w:rStyle w:val="Hyperlink"/>
                <w:rFonts w:ascii="Times New Roman" w:hAnsi="Times New Roman" w:cs="Times New Roman"/>
                <w:noProof/>
                <w:sz w:val="24"/>
                <w:szCs w:val="24"/>
              </w:rPr>
              <w:t>7.0</w:t>
            </w:r>
            <w:r w:rsidR="008B23B1" w:rsidRPr="008156C9">
              <w:rPr>
                <w:rFonts w:ascii="Times New Roman" w:eastAsiaTheme="minorEastAsia" w:hAnsi="Times New Roman" w:cs="Times New Roman"/>
                <w:b w:val="0"/>
                <w:bCs w:val="0"/>
                <w:caps w:val="0"/>
                <w:noProof/>
                <w:sz w:val="24"/>
                <w:szCs w:val="24"/>
              </w:rPr>
              <w:tab/>
            </w:r>
            <w:r w:rsidR="008B23B1" w:rsidRPr="008156C9">
              <w:rPr>
                <w:rStyle w:val="Hyperlink"/>
                <w:rFonts w:ascii="Times New Roman" w:hAnsi="Times New Roman" w:cs="Times New Roman"/>
                <w:noProof/>
                <w:sz w:val="24"/>
                <w:szCs w:val="24"/>
              </w:rPr>
              <w:t>CONSULTATION WITH THE CHANCELLOR’S OFFICE</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_Toc476514180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5</w:t>
            </w:r>
            <w:r w:rsidR="008B23B1" w:rsidRPr="008156C9">
              <w:rPr>
                <w:rFonts w:ascii="Times New Roman" w:hAnsi="Times New Roman" w:cs="Times New Roman"/>
                <w:noProof/>
                <w:webHidden/>
                <w:sz w:val="24"/>
                <w:szCs w:val="24"/>
              </w:rPr>
              <w:fldChar w:fldCharType="end"/>
            </w:r>
          </w:hyperlink>
        </w:p>
        <w:p w14:paraId="084E5A54" w14:textId="77777777" w:rsidR="008B23B1" w:rsidRPr="008156C9" w:rsidRDefault="00DF142F">
          <w:pPr>
            <w:pStyle w:val="TOC2"/>
            <w:tabs>
              <w:tab w:val="left" w:pos="1200"/>
              <w:tab w:val="right" w:leader="dot" w:pos="9350"/>
            </w:tabs>
            <w:rPr>
              <w:rFonts w:ascii="Times New Roman" w:eastAsiaTheme="minorEastAsia" w:hAnsi="Times New Roman" w:cs="Times New Roman"/>
              <w:smallCaps w:val="0"/>
              <w:noProof/>
              <w:sz w:val="24"/>
              <w:szCs w:val="24"/>
            </w:rPr>
          </w:pPr>
          <w:hyperlink w:anchor="_Toc476514181" w:history="1">
            <w:r w:rsidR="008B23B1" w:rsidRPr="008156C9">
              <w:rPr>
                <w:rStyle w:val="Hyperlink"/>
                <w:rFonts w:ascii="Times New Roman" w:hAnsi="Times New Roman" w:cs="Times New Roman"/>
                <w:noProof/>
                <w:sz w:val="24"/>
                <w:szCs w:val="24"/>
              </w:rPr>
              <w:t>*7.01</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Improve the Basic Skills Funding Formula</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_Toc476514181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5</w:t>
            </w:r>
            <w:r w:rsidR="008B23B1" w:rsidRPr="008156C9">
              <w:rPr>
                <w:rFonts w:ascii="Times New Roman" w:hAnsi="Times New Roman" w:cs="Times New Roman"/>
                <w:noProof/>
                <w:webHidden/>
                <w:sz w:val="24"/>
                <w:szCs w:val="24"/>
              </w:rPr>
              <w:fldChar w:fldCharType="end"/>
            </w:r>
          </w:hyperlink>
        </w:p>
        <w:p w14:paraId="40EC0A61" w14:textId="77777777" w:rsidR="008B23B1" w:rsidRPr="008156C9" w:rsidRDefault="00DF142F" w:rsidP="008B23B1">
          <w:pPr>
            <w:pStyle w:val="TOC2"/>
            <w:tabs>
              <w:tab w:val="left" w:pos="1200"/>
              <w:tab w:val="right" w:leader="dot" w:pos="9350"/>
            </w:tabs>
            <w:ind w:left="1200" w:hanging="960"/>
            <w:rPr>
              <w:rFonts w:ascii="Times New Roman" w:eastAsiaTheme="minorEastAsia" w:hAnsi="Times New Roman" w:cs="Times New Roman"/>
              <w:smallCaps w:val="0"/>
              <w:noProof/>
              <w:sz w:val="24"/>
              <w:szCs w:val="24"/>
            </w:rPr>
          </w:pPr>
          <w:hyperlink w:anchor="_Toc476514182" w:history="1">
            <w:r w:rsidR="008B23B1" w:rsidRPr="008156C9">
              <w:rPr>
                <w:rStyle w:val="Hyperlink"/>
                <w:rFonts w:ascii="Times New Roman" w:hAnsi="Times New Roman" w:cs="Times New Roman"/>
                <w:noProof/>
                <w:sz w:val="24"/>
                <w:szCs w:val="24"/>
              </w:rPr>
              <w:t>*7.02</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Online Training for College Staff to Support Formerly Incarcerated Students</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_Toc476514182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6</w:t>
            </w:r>
            <w:r w:rsidR="008B23B1" w:rsidRPr="008156C9">
              <w:rPr>
                <w:rFonts w:ascii="Times New Roman" w:hAnsi="Times New Roman" w:cs="Times New Roman"/>
                <w:noProof/>
                <w:webHidden/>
                <w:sz w:val="24"/>
                <w:szCs w:val="24"/>
              </w:rPr>
              <w:fldChar w:fldCharType="end"/>
            </w:r>
          </w:hyperlink>
        </w:p>
        <w:p w14:paraId="3A56F81E" w14:textId="77777777" w:rsidR="008B23B1" w:rsidRPr="008156C9" w:rsidRDefault="00DF142F">
          <w:pPr>
            <w:pStyle w:val="TOC1"/>
            <w:tabs>
              <w:tab w:val="left" w:pos="720"/>
              <w:tab w:val="right" w:leader="dot" w:pos="9350"/>
            </w:tabs>
            <w:rPr>
              <w:rFonts w:ascii="Times New Roman" w:eastAsiaTheme="minorEastAsia" w:hAnsi="Times New Roman" w:cs="Times New Roman"/>
              <w:b w:val="0"/>
              <w:bCs w:val="0"/>
              <w:caps w:val="0"/>
              <w:noProof/>
              <w:sz w:val="24"/>
              <w:szCs w:val="24"/>
            </w:rPr>
          </w:pPr>
          <w:hyperlink w:anchor="_Toc476514183" w:history="1">
            <w:r w:rsidR="008B23B1" w:rsidRPr="008156C9">
              <w:rPr>
                <w:rStyle w:val="Hyperlink"/>
                <w:rFonts w:ascii="Times New Roman" w:hAnsi="Times New Roman" w:cs="Times New Roman"/>
                <w:noProof/>
                <w:sz w:val="24"/>
                <w:szCs w:val="24"/>
              </w:rPr>
              <w:t xml:space="preserve">9.0 </w:t>
            </w:r>
            <w:r w:rsidR="008B23B1" w:rsidRPr="008156C9">
              <w:rPr>
                <w:rFonts w:ascii="Times New Roman" w:eastAsiaTheme="minorEastAsia" w:hAnsi="Times New Roman" w:cs="Times New Roman"/>
                <w:b w:val="0"/>
                <w:bCs w:val="0"/>
                <w:caps w:val="0"/>
                <w:noProof/>
                <w:sz w:val="24"/>
                <w:szCs w:val="24"/>
              </w:rPr>
              <w:tab/>
            </w:r>
            <w:r w:rsidR="008B23B1" w:rsidRPr="008156C9">
              <w:rPr>
                <w:rStyle w:val="Hyperlink"/>
                <w:rFonts w:ascii="Times New Roman" w:hAnsi="Times New Roman" w:cs="Times New Roman"/>
                <w:noProof/>
                <w:sz w:val="24"/>
                <w:szCs w:val="24"/>
              </w:rPr>
              <w:t>CURRICULUM</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_Toc476514183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7</w:t>
            </w:r>
            <w:r w:rsidR="008B23B1" w:rsidRPr="008156C9">
              <w:rPr>
                <w:rFonts w:ascii="Times New Roman" w:hAnsi="Times New Roman" w:cs="Times New Roman"/>
                <w:noProof/>
                <w:webHidden/>
                <w:sz w:val="24"/>
                <w:szCs w:val="24"/>
              </w:rPr>
              <w:fldChar w:fldCharType="end"/>
            </w:r>
          </w:hyperlink>
        </w:p>
        <w:p w14:paraId="35795850" w14:textId="77777777" w:rsidR="008B23B1" w:rsidRPr="008156C9" w:rsidRDefault="00DF142F" w:rsidP="008B23B1">
          <w:pPr>
            <w:pStyle w:val="TOC2"/>
            <w:tabs>
              <w:tab w:val="left" w:pos="1200"/>
              <w:tab w:val="right" w:leader="dot" w:pos="9350"/>
            </w:tabs>
            <w:ind w:left="1200" w:hanging="960"/>
            <w:rPr>
              <w:rFonts w:ascii="Times New Roman" w:eastAsiaTheme="minorEastAsia" w:hAnsi="Times New Roman" w:cs="Times New Roman"/>
              <w:smallCaps w:val="0"/>
              <w:noProof/>
              <w:sz w:val="24"/>
              <w:szCs w:val="24"/>
            </w:rPr>
          </w:pPr>
          <w:hyperlink w:anchor="_Toc476514184" w:history="1">
            <w:r w:rsidR="008B23B1" w:rsidRPr="008156C9">
              <w:rPr>
                <w:rStyle w:val="Hyperlink"/>
                <w:rFonts w:ascii="Times New Roman" w:hAnsi="Times New Roman" w:cs="Times New Roman"/>
                <w:noProof/>
                <w:sz w:val="24"/>
                <w:szCs w:val="24"/>
              </w:rPr>
              <w:t>*9.01</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Update to the Existing SLO Terminology Glossary and Creation of a Paper on Student Learning Outcomes</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_Toc476514184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7</w:t>
            </w:r>
            <w:r w:rsidR="008B23B1" w:rsidRPr="008156C9">
              <w:rPr>
                <w:rFonts w:ascii="Times New Roman" w:hAnsi="Times New Roman" w:cs="Times New Roman"/>
                <w:noProof/>
                <w:webHidden/>
                <w:sz w:val="24"/>
                <w:szCs w:val="24"/>
              </w:rPr>
              <w:fldChar w:fldCharType="end"/>
            </w:r>
          </w:hyperlink>
        </w:p>
        <w:p w14:paraId="0B3DBE7F" w14:textId="77777777" w:rsidR="008B23B1" w:rsidRPr="008156C9" w:rsidRDefault="00DF142F" w:rsidP="008B23B1">
          <w:pPr>
            <w:pStyle w:val="TOC2"/>
            <w:tabs>
              <w:tab w:val="left" w:pos="1200"/>
              <w:tab w:val="right" w:leader="dot" w:pos="9350"/>
            </w:tabs>
            <w:ind w:left="1200" w:hanging="960"/>
            <w:rPr>
              <w:rFonts w:ascii="Times New Roman" w:eastAsiaTheme="minorEastAsia" w:hAnsi="Times New Roman" w:cs="Times New Roman"/>
              <w:smallCaps w:val="0"/>
              <w:noProof/>
              <w:sz w:val="24"/>
              <w:szCs w:val="24"/>
            </w:rPr>
          </w:pPr>
          <w:hyperlink w:anchor="_Toc476514185" w:history="1">
            <w:r w:rsidR="008B23B1" w:rsidRPr="008156C9">
              <w:rPr>
                <w:rStyle w:val="Hyperlink"/>
                <w:rFonts w:ascii="Times New Roman" w:hAnsi="Times New Roman" w:cs="Times New Roman"/>
                <w:noProof/>
                <w:sz w:val="24"/>
                <w:szCs w:val="24"/>
              </w:rPr>
              <w:t>*9.02</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 xml:space="preserve">S17 Adopt the Revised Paper </w:t>
            </w:r>
            <w:r w:rsidR="008B23B1" w:rsidRPr="008156C9">
              <w:rPr>
                <w:rStyle w:val="Hyperlink"/>
                <w:rFonts w:ascii="Times New Roman" w:hAnsi="Times New Roman" w:cs="Times New Roman"/>
                <w:i/>
                <w:noProof/>
                <w:sz w:val="24"/>
                <w:szCs w:val="24"/>
              </w:rPr>
              <w:t>The Course Outline of Record:  A Curriculum Reference Guide</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_Toc476514185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7</w:t>
            </w:r>
            <w:r w:rsidR="008B23B1" w:rsidRPr="008156C9">
              <w:rPr>
                <w:rFonts w:ascii="Times New Roman" w:hAnsi="Times New Roman" w:cs="Times New Roman"/>
                <w:noProof/>
                <w:webHidden/>
                <w:sz w:val="24"/>
                <w:szCs w:val="24"/>
              </w:rPr>
              <w:fldChar w:fldCharType="end"/>
            </w:r>
          </w:hyperlink>
        </w:p>
        <w:p w14:paraId="5AC1C1E9" w14:textId="77777777" w:rsidR="008B23B1" w:rsidRPr="008156C9" w:rsidRDefault="00DF142F">
          <w:pPr>
            <w:pStyle w:val="TOC1"/>
            <w:tabs>
              <w:tab w:val="left" w:pos="720"/>
              <w:tab w:val="right" w:leader="dot" w:pos="9350"/>
            </w:tabs>
            <w:rPr>
              <w:rFonts w:ascii="Times New Roman" w:eastAsiaTheme="minorEastAsia" w:hAnsi="Times New Roman" w:cs="Times New Roman"/>
              <w:b w:val="0"/>
              <w:bCs w:val="0"/>
              <w:caps w:val="0"/>
              <w:noProof/>
              <w:sz w:val="24"/>
              <w:szCs w:val="24"/>
            </w:rPr>
          </w:pPr>
          <w:hyperlink w:anchor="_Toc476514186" w:history="1">
            <w:r w:rsidR="008B23B1" w:rsidRPr="008156C9">
              <w:rPr>
                <w:rStyle w:val="Hyperlink"/>
                <w:rFonts w:ascii="Times New Roman" w:hAnsi="Times New Roman" w:cs="Times New Roman"/>
                <w:noProof/>
                <w:sz w:val="24"/>
                <w:szCs w:val="24"/>
              </w:rPr>
              <w:t>10.0</w:t>
            </w:r>
            <w:r w:rsidR="008B23B1" w:rsidRPr="008156C9">
              <w:rPr>
                <w:rFonts w:ascii="Times New Roman" w:eastAsiaTheme="minorEastAsia" w:hAnsi="Times New Roman" w:cs="Times New Roman"/>
                <w:b w:val="0"/>
                <w:bCs w:val="0"/>
                <w:caps w:val="0"/>
                <w:noProof/>
                <w:sz w:val="24"/>
                <w:szCs w:val="24"/>
              </w:rPr>
              <w:tab/>
            </w:r>
            <w:r w:rsidR="008B23B1" w:rsidRPr="008156C9">
              <w:rPr>
                <w:rStyle w:val="Hyperlink"/>
                <w:rFonts w:ascii="Times New Roman" w:hAnsi="Times New Roman" w:cs="Times New Roman"/>
                <w:noProof/>
                <w:sz w:val="24"/>
                <w:szCs w:val="24"/>
              </w:rPr>
              <w:t>DISCIPLINES LIST</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_Toc476514186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8</w:t>
            </w:r>
            <w:r w:rsidR="008B23B1" w:rsidRPr="008156C9">
              <w:rPr>
                <w:rFonts w:ascii="Times New Roman" w:hAnsi="Times New Roman" w:cs="Times New Roman"/>
                <w:noProof/>
                <w:webHidden/>
                <w:sz w:val="24"/>
                <w:szCs w:val="24"/>
              </w:rPr>
              <w:fldChar w:fldCharType="end"/>
            </w:r>
          </w:hyperlink>
        </w:p>
        <w:p w14:paraId="5638F530" w14:textId="77777777" w:rsidR="008B23B1" w:rsidRPr="008156C9" w:rsidRDefault="00DF142F">
          <w:pPr>
            <w:pStyle w:val="TOC2"/>
            <w:tabs>
              <w:tab w:val="left" w:pos="1200"/>
              <w:tab w:val="right" w:leader="dot" w:pos="9350"/>
            </w:tabs>
            <w:rPr>
              <w:rFonts w:ascii="Times New Roman" w:eastAsiaTheme="minorEastAsia" w:hAnsi="Times New Roman" w:cs="Times New Roman"/>
              <w:smallCaps w:val="0"/>
              <w:noProof/>
              <w:sz w:val="24"/>
              <w:szCs w:val="24"/>
            </w:rPr>
          </w:pPr>
          <w:hyperlink w:anchor="_Toc476514187" w:history="1">
            <w:r w:rsidR="008B23B1" w:rsidRPr="008156C9">
              <w:rPr>
                <w:rStyle w:val="Hyperlink"/>
                <w:rFonts w:ascii="Times New Roman" w:hAnsi="Times New Roman" w:cs="Times New Roman"/>
                <w:noProof/>
                <w:sz w:val="24"/>
                <w:szCs w:val="24"/>
              </w:rPr>
              <w:t>*10.01</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Disciplines List – Public Safety</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_Toc476514187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8</w:t>
            </w:r>
            <w:r w:rsidR="008B23B1" w:rsidRPr="008156C9">
              <w:rPr>
                <w:rFonts w:ascii="Times New Roman" w:hAnsi="Times New Roman" w:cs="Times New Roman"/>
                <w:noProof/>
                <w:webHidden/>
                <w:sz w:val="24"/>
                <w:szCs w:val="24"/>
              </w:rPr>
              <w:fldChar w:fldCharType="end"/>
            </w:r>
          </w:hyperlink>
        </w:p>
        <w:p w14:paraId="622321B4" w14:textId="77777777" w:rsidR="008B23B1" w:rsidRPr="008156C9" w:rsidRDefault="00DF142F" w:rsidP="008B23B1">
          <w:pPr>
            <w:pStyle w:val="TOC2"/>
            <w:tabs>
              <w:tab w:val="left" w:pos="1200"/>
              <w:tab w:val="right" w:leader="dot" w:pos="9350"/>
            </w:tabs>
            <w:ind w:left="1200" w:hanging="960"/>
            <w:rPr>
              <w:rFonts w:ascii="Times New Roman" w:eastAsiaTheme="minorEastAsia" w:hAnsi="Times New Roman" w:cs="Times New Roman"/>
              <w:smallCaps w:val="0"/>
              <w:noProof/>
              <w:sz w:val="24"/>
              <w:szCs w:val="24"/>
            </w:rPr>
          </w:pPr>
          <w:hyperlink w:anchor="_Toc476514188" w:history="1">
            <w:r w:rsidR="008B23B1" w:rsidRPr="008156C9">
              <w:rPr>
                <w:rStyle w:val="Hyperlink"/>
                <w:rFonts w:ascii="Times New Roman" w:hAnsi="Times New Roman" w:cs="Times New Roman"/>
                <w:noProof/>
                <w:sz w:val="24"/>
                <w:szCs w:val="24"/>
              </w:rPr>
              <w:t>*10.02</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Faculty Internship Minimum Qualifications in Disciplines Not Requiring a Master’s Degree</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_Toc476514188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8</w:t>
            </w:r>
            <w:r w:rsidR="008B23B1" w:rsidRPr="008156C9">
              <w:rPr>
                <w:rFonts w:ascii="Times New Roman" w:hAnsi="Times New Roman" w:cs="Times New Roman"/>
                <w:noProof/>
                <w:webHidden/>
                <w:sz w:val="24"/>
                <w:szCs w:val="24"/>
              </w:rPr>
              <w:fldChar w:fldCharType="end"/>
            </w:r>
          </w:hyperlink>
        </w:p>
        <w:p w14:paraId="78D0EC79" w14:textId="77777777" w:rsidR="008B23B1" w:rsidRPr="008156C9" w:rsidRDefault="00DF142F" w:rsidP="008B23B1">
          <w:pPr>
            <w:pStyle w:val="TOC2"/>
            <w:tabs>
              <w:tab w:val="left" w:pos="1200"/>
              <w:tab w:val="right" w:leader="dot" w:pos="9350"/>
            </w:tabs>
            <w:ind w:left="1200" w:hanging="960"/>
            <w:rPr>
              <w:rFonts w:ascii="Times New Roman" w:eastAsiaTheme="minorEastAsia" w:hAnsi="Times New Roman" w:cs="Times New Roman"/>
              <w:smallCaps w:val="0"/>
              <w:noProof/>
              <w:sz w:val="24"/>
              <w:szCs w:val="24"/>
            </w:rPr>
          </w:pPr>
          <w:hyperlink w:anchor="_Toc476514189" w:history="1">
            <w:r w:rsidR="008B23B1" w:rsidRPr="008156C9">
              <w:rPr>
                <w:rStyle w:val="Hyperlink"/>
                <w:rFonts w:ascii="Times New Roman" w:hAnsi="Times New Roman" w:cs="Times New Roman"/>
                <w:noProof/>
                <w:sz w:val="24"/>
                <w:szCs w:val="24"/>
              </w:rPr>
              <w:t>*10.03</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Review Experience Definitions for Disciplines Not Requiring a Master’s Degree</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_Toc476514189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9</w:t>
            </w:r>
            <w:r w:rsidR="008B23B1" w:rsidRPr="008156C9">
              <w:rPr>
                <w:rFonts w:ascii="Times New Roman" w:hAnsi="Times New Roman" w:cs="Times New Roman"/>
                <w:noProof/>
                <w:webHidden/>
                <w:sz w:val="24"/>
                <w:szCs w:val="24"/>
              </w:rPr>
              <w:fldChar w:fldCharType="end"/>
            </w:r>
          </w:hyperlink>
        </w:p>
        <w:p w14:paraId="020CE85B" w14:textId="77777777" w:rsidR="008B23B1" w:rsidRPr="008156C9" w:rsidRDefault="00DF142F" w:rsidP="008B23B1">
          <w:pPr>
            <w:pStyle w:val="TOC2"/>
            <w:tabs>
              <w:tab w:val="left" w:pos="1200"/>
              <w:tab w:val="right" w:leader="dot" w:pos="9350"/>
            </w:tabs>
            <w:ind w:left="1200" w:hanging="960"/>
            <w:rPr>
              <w:rFonts w:ascii="Times New Roman" w:eastAsiaTheme="minorEastAsia" w:hAnsi="Times New Roman" w:cs="Times New Roman"/>
              <w:smallCaps w:val="0"/>
              <w:noProof/>
              <w:sz w:val="24"/>
              <w:szCs w:val="24"/>
            </w:rPr>
          </w:pPr>
          <w:hyperlink w:anchor="_Toc476514190" w:history="1">
            <w:r w:rsidR="008B23B1" w:rsidRPr="008156C9">
              <w:rPr>
                <w:rStyle w:val="Hyperlink"/>
                <w:rFonts w:ascii="Times New Roman" w:hAnsi="Times New Roman" w:cs="Times New Roman"/>
                <w:noProof/>
                <w:sz w:val="24"/>
                <w:szCs w:val="24"/>
              </w:rPr>
              <w:t>*10.04</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Review Experience Requirements for Disciplines Not Requiring a Master’s Degree</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_Toc476514190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9</w:t>
            </w:r>
            <w:r w:rsidR="008B23B1" w:rsidRPr="008156C9">
              <w:rPr>
                <w:rFonts w:ascii="Times New Roman" w:hAnsi="Times New Roman" w:cs="Times New Roman"/>
                <w:noProof/>
                <w:webHidden/>
                <w:sz w:val="24"/>
                <w:szCs w:val="24"/>
              </w:rPr>
              <w:fldChar w:fldCharType="end"/>
            </w:r>
          </w:hyperlink>
        </w:p>
        <w:p w14:paraId="443A8B0E" w14:textId="77777777" w:rsidR="008B23B1" w:rsidRPr="008156C9" w:rsidRDefault="00DF142F">
          <w:pPr>
            <w:pStyle w:val="TOC2"/>
            <w:tabs>
              <w:tab w:val="left" w:pos="1200"/>
              <w:tab w:val="right" w:leader="dot" w:pos="9350"/>
            </w:tabs>
            <w:rPr>
              <w:rFonts w:ascii="Times New Roman" w:eastAsiaTheme="minorEastAsia" w:hAnsi="Times New Roman" w:cs="Times New Roman"/>
              <w:smallCaps w:val="0"/>
              <w:noProof/>
              <w:sz w:val="24"/>
              <w:szCs w:val="24"/>
            </w:rPr>
          </w:pPr>
          <w:hyperlink w:anchor="_Toc476514191" w:history="1">
            <w:r w:rsidR="008B23B1" w:rsidRPr="008156C9">
              <w:rPr>
                <w:rStyle w:val="Hyperlink"/>
                <w:rFonts w:ascii="Times New Roman" w:hAnsi="Times New Roman" w:cs="Times New Roman"/>
                <w:noProof/>
                <w:sz w:val="24"/>
                <w:szCs w:val="24"/>
              </w:rPr>
              <w:t>*10.05</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Equivalency Resources for Local Senates</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_Toc476514191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10</w:t>
            </w:r>
            <w:r w:rsidR="008B23B1" w:rsidRPr="008156C9">
              <w:rPr>
                <w:rFonts w:ascii="Times New Roman" w:hAnsi="Times New Roman" w:cs="Times New Roman"/>
                <w:noProof/>
                <w:webHidden/>
                <w:sz w:val="24"/>
                <w:szCs w:val="24"/>
              </w:rPr>
              <w:fldChar w:fldCharType="end"/>
            </w:r>
          </w:hyperlink>
        </w:p>
        <w:p w14:paraId="14F56112" w14:textId="77777777" w:rsidR="008B23B1" w:rsidRPr="008156C9" w:rsidRDefault="00DF142F">
          <w:pPr>
            <w:pStyle w:val="TOC1"/>
            <w:tabs>
              <w:tab w:val="left" w:pos="720"/>
              <w:tab w:val="right" w:leader="dot" w:pos="9350"/>
            </w:tabs>
            <w:rPr>
              <w:rFonts w:ascii="Times New Roman" w:eastAsiaTheme="minorEastAsia" w:hAnsi="Times New Roman" w:cs="Times New Roman"/>
              <w:b w:val="0"/>
              <w:bCs w:val="0"/>
              <w:caps w:val="0"/>
              <w:noProof/>
              <w:sz w:val="24"/>
              <w:szCs w:val="24"/>
            </w:rPr>
          </w:pPr>
          <w:hyperlink w:anchor="_Toc476514192" w:history="1">
            <w:r w:rsidR="008B23B1" w:rsidRPr="008156C9">
              <w:rPr>
                <w:rStyle w:val="Hyperlink"/>
                <w:rFonts w:ascii="Times New Roman" w:hAnsi="Times New Roman" w:cs="Times New Roman"/>
                <w:noProof/>
                <w:sz w:val="24"/>
                <w:szCs w:val="24"/>
              </w:rPr>
              <w:t>11.0</w:t>
            </w:r>
            <w:r w:rsidR="008B23B1" w:rsidRPr="008156C9">
              <w:rPr>
                <w:rFonts w:ascii="Times New Roman" w:eastAsiaTheme="minorEastAsia" w:hAnsi="Times New Roman" w:cs="Times New Roman"/>
                <w:b w:val="0"/>
                <w:bCs w:val="0"/>
                <w:caps w:val="0"/>
                <w:noProof/>
                <w:sz w:val="24"/>
                <w:szCs w:val="24"/>
              </w:rPr>
              <w:tab/>
            </w:r>
            <w:r w:rsidR="008B23B1" w:rsidRPr="008156C9">
              <w:rPr>
                <w:rStyle w:val="Hyperlink"/>
                <w:rFonts w:ascii="Times New Roman" w:hAnsi="Times New Roman" w:cs="Times New Roman"/>
                <w:noProof/>
                <w:sz w:val="24"/>
                <w:szCs w:val="24"/>
              </w:rPr>
              <w:t>TECHNOLOGY</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_Toc476514192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10</w:t>
            </w:r>
            <w:r w:rsidR="008B23B1" w:rsidRPr="008156C9">
              <w:rPr>
                <w:rFonts w:ascii="Times New Roman" w:hAnsi="Times New Roman" w:cs="Times New Roman"/>
                <w:noProof/>
                <w:webHidden/>
                <w:sz w:val="24"/>
                <w:szCs w:val="24"/>
              </w:rPr>
              <w:fldChar w:fldCharType="end"/>
            </w:r>
          </w:hyperlink>
        </w:p>
        <w:p w14:paraId="2499B6DF" w14:textId="77777777" w:rsidR="008B23B1" w:rsidRPr="008156C9" w:rsidRDefault="00DF142F">
          <w:pPr>
            <w:pStyle w:val="TOC2"/>
            <w:tabs>
              <w:tab w:val="left" w:pos="1200"/>
              <w:tab w:val="right" w:leader="dot" w:pos="9350"/>
            </w:tabs>
            <w:rPr>
              <w:rFonts w:ascii="Times New Roman" w:eastAsiaTheme="minorEastAsia" w:hAnsi="Times New Roman" w:cs="Times New Roman"/>
              <w:smallCaps w:val="0"/>
              <w:noProof/>
              <w:sz w:val="24"/>
              <w:szCs w:val="24"/>
            </w:rPr>
          </w:pPr>
          <w:hyperlink w:anchor="_Toc476514193" w:history="1">
            <w:r w:rsidR="008B23B1" w:rsidRPr="008156C9">
              <w:rPr>
                <w:rStyle w:val="Hyperlink"/>
                <w:rFonts w:ascii="Times New Roman" w:hAnsi="Times New Roman" w:cs="Times New Roman"/>
                <w:noProof/>
                <w:sz w:val="24"/>
                <w:szCs w:val="24"/>
              </w:rPr>
              <w:t>*11.01</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Using Savings from Adopting Canvas</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_Toc476514193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10</w:t>
            </w:r>
            <w:r w:rsidR="008B23B1" w:rsidRPr="008156C9">
              <w:rPr>
                <w:rFonts w:ascii="Times New Roman" w:hAnsi="Times New Roman" w:cs="Times New Roman"/>
                <w:noProof/>
                <w:webHidden/>
                <w:sz w:val="24"/>
                <w:szCs w:val="24"/>
              </w:rPr>
              <w:fldChar w:fldCharType="end"/>
            </w:r>
          </w:hyperlink>
        </w:p>
        <w:p w14:paraId="38095FDB" w14:textId="77777777" w:rsidR="008B23B1" w:rsidRPr="008156C9" w:rsidRDefault="00DF142F">
          <w:pPr>
            <w:pStyle w:val="TOC2"/>
            <w:tabs>
              <w:tab w:val="left" w:pos="1200"/>
              <w:tab w:val="right" w:leader="dot" w:pos="9350"/>
            </w:tabs>
            <w:rPr>
              <w:rFonts w:ascii="Times New Roman" w:eastAsiaTheme="minorEastAsia" w:hAnsi="Times New Roman" w:cs="Times New Roman"/>
              <w:smallCaps w:val="0"/>
              <w:noProof/>
              <w:sz w:val="24"/>
              <w:szCs w:val="24"/>
            </w:rPr>
          </w:pPr>
          <w:hyperlink w:anchor="_Toc476514194" w:history="1">
            <w:r w:rsidR="008B23B1" w:rsidRPr="008156C9">
              <w:rPr>
                <w:rStyle w:val="Hyperlink"/>
                <w:rFonts w:ascii="Times New Roman" w:hAnsi="Times New Roman" w:cs="Times New Roman"/>
                <w:noProof/>
                <w:sz w:val="24"/>
                <w:szCs w:val="24"/>
              </w:rPr>
              <w:t>*11.02</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Expansion of the Online Course Exchange</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_Toc476514194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11</w:t>
            </w:r>
            <w:r w:rsidR="008B23B1" w:rsidRPr="008156C9">
              <w:rPr>
                <w:rFonts w:ascii="Times New Roman" w:hAnsi="Times New Roman" w:cs="Times New Roman"/>
                <w:noProof/>
                <w:webHidden/>
                <w:sz w:val="24"/>
                <w:szCs w:val="24"/>
              </w:rPr>
              <w:fldChar w:fldCharType="end"/>
            </w:r>
          </w:hyperlink>
        </w:p>
        <w:p w14:paraId="5AAF1C0A" w14:textId="77777777" w:rsidR="008B23B1" w:rsidRPr="008156C9" w:rsidRDefault="00DF142F">
          <w:pPr>
            <w:pStyle w:val="TOC1"/>
            <w:tabs>
              <w:tab w:val="left" w:pos="720"/>
              <w:tab w:val="right" w:leader="dot" w:pos="9350"/>
            </w:tabs>
            <w:rPr>
              <w:rFonts w:ascii="Times New Roman" w:eastAsiaTheme="minorEastAsia" w:hAnsi="Times New Roman" w:cs="Times New Roman"/>
              <w:b w:val="0"/>
              <w:bCs w:val="0"/>
              <w:caps w:val="0"/>
              <w:noProof/>
              <w:sz w:val="24"/>
              <w:szCs w:val="24"/>
            </w:rPr>
          </w:pPr>
          <w:hyperlink w:anchor="_Toc476514195" w:history="1">
            <w:r w:rsidR="008B23B1" w:rsidRPr="008156C9">
              <w:rPr>
                <w:rStyle w:val="Hyperlink"/>
                <w:rFonts w:ascii="Times New Roman" w:hAnsi="Times New Roman" w:cs="Times New Roman"/>
                <w:noProof/>
                <w:sz w:val="24"/>
                <w:szCs w:val="24"/>
              </w:rPr>
              <w:t>17.0</w:t>
            </w:r>
            <w:r w:rsidR="008B23B1" w:rsidRPr="008156C9">
              <w:rPr>
                <w:rFonts w:ascii="Times New Roman" w:eastAsiaTheme="minorEastAsia" w:hAnsi="Times New Roman" w:cs="Times New Roman"/>
                <w:b w:val="0"/>
                <w:bCs w:val="0"/>
                <w:caps w:val="0"/>
                <w:noProof/>
                <w:sz w:val="24"/>
                <w:szCs w:val="24"/>
              </w:rPr>
              <w:tab/>
            </w:r>
            <w:r w:rsidR="008B23B1" w:rsidRPr="008156C9">
              <w:rPr>
                <w:rStyle w:val="Hyperlink"/>
                <w:rFonts w:ascii="Times New Roman" w:hAnsi="Times New Roman" w:cs="Times New Roman"/>
                <w:noProof/>
                <w:sz w:val="24"/>
                <w:szCs w:val="24"/>
              </w:rPr>
              <w:t>LOCAL SENATES</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_Toc476514195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12</w:t>
            </w:r>
            <w:r w:rsidR="008B23B1" w:rsidRPr="008156C9">
              <w:rPr>
                <w:rFonts w:ascii="Times New Roman" w:hAnsi="Times New Roman" w:cs="Times New Roman"/>
                <w:noProof/>
                <w:webHidden/>
                <w:sz w:val="24"/>
                <w:szCs w:val="24"/>
              </w:rPr>
              <w:fldChar w:fldCharType="end"/>
            </w:r>
          </w:hyperlink>
        </w:p>
        <w:p w14:paraId="0AD3906A" w14:textId="77777777" w:rsidR="008B23B1" w:rsidRPr="008156C9" w:rsidRDefault="00DF142F">
          <w:pPr>
            <w:pStyle w:val="TOC2"/>
            <w:tabs>
              <w:tab w:val="left" w:pos="1200"/>
              <w:tab w:val="right" w:leader="dot" w:pos="9350"/>
            </w:tabs>
            <w:rPr>
              <w:rFonts w:ascii="Times New Roman" w:eastAsiaTheme="minorEastAsia" w:hAnsi="Times New Roman" w:cs="Times New Roman"/>
              <w:smallCaps w:val="0"/>
              <w:noProof/>
              <w:sz w:val="24"/>
              <w:szCs w:val="24"/>
            </w:rPr>
          </w:pPr>
          <w:hyperlink w:anchor="_Toc476514196" w:history="1">
            <w:r w:rsidR="008B23B1" w:rsidRPr="008156C9">
              <w:rPr>
                <w:rStyle w:val="Hyperlink"/>
                <w:rFonts w:ascii="Times New Roman" w:hAnsi="Times New Roman" w:cs="Times New Roman"/>
                <w:noProof/>
                <w:sz w:val="24"/>
                <w:szCs w:val="24"/>
              </w:rPr>
              <w:t>*17.01</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Local President Sign-off on Grants and Initiative Plans</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_Toc476514196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12</w:t>
            </w:r>
            <w:r w:rsidR="008B23B1" w:rsidRPr="008156C9">
              <w:rPr>
                <w:rFonts w:ascii="Times New Roman" w:hAnsi="Times New Roman" w:cs="Times New Roman"/>
                <w:noProof/>
                <w:webHidden/>
                <w:sz w:val="24"/>
                <w:szCs w:val="24"/>
              </w:rPr>
              <w:fldChar w:fldCharType="end"/>
            </w:r>
          </w:hyperlink>
        </w:p>
        <w:p w14:paraId="7157F1BF" w14:textId="77777777" w:rsidR="008B23B1" w:rsidRPr="008156C9" w:rsidRDefault="00DF142F" w:rsidP="008B23B1">
          <w:pPr>
            <w:pStyle w:val="TOC2"/>
            <w:tabs>
              <w:tab w:val="left" w:pos="1200"/>
              <w:tab w:val="right" w:leader="dot" w:pos="9350"/>
            </w:tabs>
            <w:ind w:left="1200" w:hanging="960"/>
            <w:rPr>
              <w:rFonts w:ascii="Times New Roman" w:eastAsiaTheme="minorEastAsia" w:hAnsi="Times New Roman" w:cs="Times New Roman"/>
              <w:smallCaps w:val="0"/>
              <w:noProof/>
              <w:sz w:val="24"/>
              <w:szCs w:val="24"/>
            </w:rPr>
          </w:pPr>
          <w:hyperlink w:anchor="_Toc476514197" w:history="1">
            <w:r w:rsidR="008B23B1" w:rsidRPr="008156C9">
              <w:rPr>
                <w:rStyle w:val="Hyperlink"/>
                <w:rFonts w:ascii="Times New Roman" w:hAnsi="Times New Roman" w:cs="Times New Roman"/>
                <w:noProof/>
                <w:sz w:val="24"/>
                <w:szCs w:val="24"/>
              </w:rPr>
              <w:t>*17.02</w:t>
            </w:r>
            <w:r w:rsidR="008B23B1" w:rsidRPr="008156C9">
              <w:rPr>
                <w:rFonts w:ascii="Times New Roman" w:eastAsiaTheme="minorEastAsia" w:hAnsi="Times New Roman" w:cs="Times New Roman"/>
                <w:smallCaps w:val="0"/>
                <w:noProof/>
                <w:sz w:val="24"/>
                <w:szCs w:val="24"/>
              </w:rPr>
              <w:tab/>
            </w:r>
            <w:r w:rsidR="008B23B1" w:rsidRPr="008156C9">
              <w:rPr>
                <w:rStyle w:val="Hyperlink"/>
                <w:rFonts w:ascii="Times New Roman" w:hAnsi="Times New Roman" w:cs="Times New Roman"/>
                <w:noProof/>
                <w:sz w:val="24"/>
                <w:szCs w:val="24"/>
              </w:rPr>
              <w:t>S17 Adequate Support and a Designated Point Person for Formerly Incarcerated Students</w:t>
            </w:r>
            <w:r w:rsidR="008B23B1" w:rsidRPr="008156C9">
              <w:rPr>
                <w:rFonts w:ascii="Times New Roman" w:hAnsi="Times New Roman" w:cs="Times New Roman"/>
                <w:noProof/>
                <w:webHidden/>
                <w:sz w:val="24"/>
                <w:szCs w:val="24"/>
              </w:rPr>
              <w:tab/>
            </w:r>
            <w:r w:rsidR="008B23B1" w:rsidRPr="008156C9">
              <w:rPr>
                <w:rFonts w:ascii="Times New Roman" w:hAnsi="Times New Roman" w:cs="Times New Roman"/>
                <w:noProof/>
                <w:webHidden/>
                <w:sz w:val="24"/>
                <w:szCs w:val="24"/>
              </w:rPr>
              <w:fldChar w:fldCharType="begin"/>
            </w:r>
            <w:r w:rsidR="008B23B1" w:rsidRPr="008156C9">
              <w:rPr>
                <w:rFonts w:ascii="Times New Roman" w:hAnsi="Times New Roman" w:cs="Times New Roman"/>
                <w:noProof/>
                <w:webHidden/>
                <w:sz w:val="24"/>
                <w:szCs w:val="24"/>
              </w:rPr>
              <w:instrText xml:space="preserve"> PAGEREF _Toc476514197 \h </w:instrText>
            </w:r>
            <w:r w:rsidR="008B23B1" w:rsidRPr="008156C9">
              <w:rPr>
                <w:rFonts w:ascii="Times New Roman" w:hAnsi="Times New Roman" w:cs="Times New Roman"/>
                <w:noProof/>
                <w:webHidden/>
                <w:sz w:val="24"/>
                <w:szCs w:val="24"/>
              </w:rPr>
            </w:r>
            <w:r w:rsidR="008B23B1" w:rsidRPr="008156C9">
              <w:rPr>
                <w:rFonts w:ascii="Times New Roman" w:hAnsi="Times New Roman" w:cs="Times New Roman"/>
                <w:noProof/>
                <w:webHidden/>
                <w:sz w:val="24"/>
                <w:szCs w:val="24"/>
              </w:rPr>
              <w:fldChar w:fldCharType="separate"/>
            </w:r>
            <w:r w:rsidR="008B23B1" w:rsidRPr="008156C9">
              <w:rPr>
                <w:rFonts w:ascii="Times New Roman" w:hAnsi="Times New Roman" w:cs="Times New Roman"/>
                <w:noProof/>
                <w:webHidden/>
                <w:sz w:val="24"/>
                <w:szCs w:val="24"/>
              </w:rPr>
              <w:t>13</w:t>
            </w:r>
            <w:r w:rsidR="008B23B1" w:rsidRPr="008156C9">
              <w:rPr>
                <w:rFonts w:ascii="Times New Roman" w:hAnsi="Times New Roman" w:cs="Times New Roman"/>
                <w:noProof/>
                <w:webHidden/>
                <w:sz w:val="24"/>
                <w:szCs w:val="24"/>
              </w:rPr>
              <w:fldChar w:fldCharType="end"/>
            </w:r>
          </w:hyperlink>
        </w:p>
        <w:p w14:paraId="70AD9094" w14:textId="14B709C6" w:rsidR="00A53151" w:rsidRPr="008156C9" w:rsidRDefault="00A53151">
          <w:pPr>
            <w:rPr>
              <w:rFonts w:ascii="Times New Roman" w:hAnsi="Times New Roman" w:cs="Times New Roman"/>
            </w:rPr>
          </w:pPr>
          <w:r w:rsidRPr="008156C9">
            <w:rPr>
              <w:rFonts w:ascii="Times New Roman" w:hAnsi="Times New Roman" w:cs="Times New Roman"/>
              <w:b/>
              <w:bCs/>
              <w:noProof/>
            </w:rPr>
            <w:fldChar w:fldCharType="end"/>
          </w:r>
        </w:p>
      </w:sdtContent>
    </w:sdt>
    <w:p w14:paraId="041D7082" w14:textId="77777777" w:rsidR="00A8713A" w:rsidRPr="008156C9" w:rsidRDefault="00A8713A" w:rsidP="00C25C90">
      <w:pPr>
        <w:rPr>
          <w:rFonts w:ascii="Times New Roman" w:hAnsi="Times New Roman" w:cs="Times New Roman"/>
        </w:rPr>
      </w:pPr>
    </w:p>
    <w:p w14:paraId="3EE989D7" w14:textId="77777777" w:rsidR="00035A2F" w:rsidRPr="008156C9" w:rsidRDefault="00035A2F" w:rsidP="00E00C12">
      <w:pPr>
        <w:pStyle w:val="Heading1"/>
        <w:sectPr w:rsidR="00035A2F" w:rsidRPr="008156C9" w:rsidSect="00B923EC">
          <w:pgSz w:w="12240" w:h="15840"/>
          <w:pgMar w:top="1440" w:right="1440" w:bottom="1440" w:left="1440" w:header="720" w:footer="720" w:gutter="0"/>
          <w:cols w:space="720"/>
          <w:docGrid w:linePitch="360"/>
        </w:sectPr>
      </w:pPr>
    </w:p>
    <w:p w14:paraId="691CC03D" w14:textId="37B8F237" w:rsidR="00007DC7" w:rsidRPr="008156C9" w:rsidRDefault="00A77D7B" w:rsidP="00A77D7B">
      <w:pPr>
        <w:pStyle w:val="Heading1"/>
      </w:pPr>
      <w:bookmarkStart w:id="2" w:name="_Toc476514172"/>
      <w:r w:rsidRPr="008156C9">
        <w:lastRenderedPageBreak/>
        <w:t>3.0</w:t>
      </w:r>
      <w:r w:rsidRPr="008156C9">
        <w:tab/>
        <w:t>EQUITY AND DIVERSITY</w:t>
      </w:r>
      <w:bookmarkEnd w:id="2"/>
    </w:p>
    <w:p w14:paraId="6398139A" w14:textId="55398E4B" w:rsidR="00A8713A" w:rsidRPr="008156C9" w:rsidRDefault="00C571A1" w:rsidP="00BB378D">
      <w:pPr>
        <w:pStyle w:val="Heading2"/>
      </w:pPr>
      <w:bookmarkStart w:id="3" w:name="_Toc476514173"/>
      <w:r w:rsidRPr="008156C9">
        <w:t>*</w:t>
      </w:r>
      <w:r w:rsidR="00A77D7B" w:rsidRPr="008156C9">
        <w:t>3.0</w:t>
      </w:r>
      <w:r w:rsidR="004D4637" w:rsidRPr="008156C9">
        <w:t>1</w:t>
      </w:r>
      <w:r w:rsidR="00A77D7B" w:rsidRPr="008156C9">
        <w:tab/>
        <w:t>S17</w:t>
      </w:r>
      <w:r w:rsidR="00A77D7B" w:rsidRPr="008156C9">
        <w:tab/>
      </w:r>
      <w:r w:rsidR="00A8713A" w:rsidRPr="008156C9">
        <w:t xml:space="preserve">Revise the Paper </w:t>
      </w:r>
      <w:r w:rsidR="00A8713A" w:rsidRPr="008156C9">
        <w:rPr>
          <w:i/>
        </w:rPr>
        <w:t xml:space="preserve">A Re-examination of Faculty Hiring Processes and </w:t>
      </w:r>
      <w:r w:rsidR="00181403">
        <w:rPr>
          <w:i/>
        </w:rPr>
        <w:tab/>
      </w:r>
      <w:r w:rsidR="00181403">
        <w:rPr>
          <w:i/>
        </w:rPr>
        <w:tab/>
      </w:r>
      <w:r w:rsidR="00181403">
        <w:rPr>
          <w:i/>
        </w:rPr>
        <w:tab/>
      </w:r>
      <w:r w:rsidR="00181403">
        <w:rPr>
          <w:i/>
        </w:rPr>
        <w:tab/>
      </w:r>
      <w:r w:rsidR="00A8713A" w:rsidRPr="008156C9">
        <w:rPr>
          <w:i/>
        </w:rPr>
        <w:t>Procedures</w:t>
      </w:r>
      <w:bookmarkEnd w:id="3"/>
    </w:p>
    <w:p w14:paraId="5C34ED96" w14:textId="57D03E94" w:rsidR="00A8713A" w:rsidRPr="008156C9" w:rsidRDefault="00A8713A" w:rsidP="00C25C90">
      <w:pPr>
        <w:rPr>
          <w:rFonts w:ascii="Times New Roman" w:hAnsi="Times New Roman" w:cs="Times New Roman"/>
        </w:rPr>
      </w:pPr>
      <w:r w:rsidRPr="008156C9">
        <w:rPr>
          <w:rFonts w:ascii="Times New Roman" w:hAnsi="Times New Roman" w:cs="Times New Roman"/>
        </w:rPr>
        <w:t xml:space="preserve">Whereas, The most recent </w:t>
      </w:r>
      <w:r w:rsidR="00181403" w:rsidRPr="008156C9">
        <w:rPr>
          <w:rFonts w:ascii="Times New Roman" w:hAnsi="Times New Roman" w:cs="Times New Roman"/>
        </w:rPr>
        <w:t xml:space="preserve">Academic Senate for California Community Colleges </w:t>
      </w:r>
      <w:r w:rsidRPr="008156C9">
        <w:rPr>
          <w:rFonts w:ascii="Times New Roman" w:hAnsi="Times New Roman" w:cs="Times New Roman"/>
        </w:rPr>
        <w:t xml:space="preserve">paper on faculty hiring, </w:t>
      </w:r>
      <w:r w:rsidRPr="008156C9">
        <w:rPr>
          <w:rFonts w:ascii="Times New Roman" w:hAnsi="Times New Roman" w:cs="Times New Roman"/>
          <w:i/>
        </w:rPr>
        <w:t>A Re-examination of Faculty Hiring Processes and Procedures</w:t>
      </w:r>
      <w:r w:rsidR="00763DD1" w:rsidRPr="008156C9">
        <w:rPr>
          <w:rStyle w:val="FootnoteReference"/>
          <w:rFonts w:ascii="Times New Roman" w:hAnsi="Times New Roman" w:cs="Times New Roman"/>
          <w:i/>
        </w:rPr>
        <w:footnoteReference w:id="1"/>
      </w:r>
      <w:r w:rsidRPr="008156C9">
        <w:rPr>
          <w:rFonts w:ascii="Times New Roman" w:hAnsi="Times New Roman" w:cs="Times New Roman"/>
        </w:rPr>
        <w:t xml:space="preserve">, was adopted in </w:t>
      </w:r>
      <w:r w:rsidR="00205F95" w:rsidRPr="008156C9">
        <w:rPr>
          <w:rFonts w:ascii="Times New Roman" w:hAnsi="Times New Roman" w:cs="Times New Roman"/>
        </w:rPr>
        <w:t xml:space="preserve">Fall </w:t>
      </w:r>
      <w:r w:rsidRPr="008156C9">
        <w:rPr>
          <w:rFonts w:ascii="Times New Roman" w:hAnsi="Times New Roman" w:cs="Times New Roman"/>
        </w:rPr>
        <w:t xml:space="preserve">2000, and </w:t>
      </w:r>
      <w:r w:rsidR="00A4049A" w:rsidRPr="008156C9">
        <w:rPr>
          <w:rFonts w:ascii="Times New Roman" w:hAnsi="Times New Roman" w:cs="Times New Roman"/>
        </w:rPr>
        <w:t xml:space="preserve">it is good practice to regularly review and reevaluate </w:t>
      </w:r>
      <w:r w:rsidRPr="008156C9">
        <w:rPr>
          <w:rFonts w:ascii="Times New Roman" w:hAnsi="Times New Roman" w:cs="Times New Roman"/>
        </w:rPr>
        <w:t>professional standards regarding the hiring processes and procedures for all faculty;</w:t>
      </w:r>
    </w:p>
    <w:p w14:paraId="758B69E2" w14:textId="77777777" w:rsidR="00A8713A" w:rsidRPr="008156C9" w:rsidRDefault="00A8713A" w:rsidP="00C25C90">
      <w:pPr>
        <w:rPr>
          <w:rFonts w:ascii="Times New Roman" w:hAnsi="Times New Roman" w:cs="Times New Roman"/>
        </w:rPr>
      </w:pPr>
    </w:p>
    <w:p w14:paraId="0069ED81" w14:textId="4DD40A4A" w:rsidR="00A8713A" w:rsidRPr="008156C9" w:rsidRDefault="00A8713A" w:rsidP="00C25C90">
      <w:pPr>
        <w:rPr>
          <w:rFonts w:ascii="Times New Roman" w:hAnsi="Times New Roman" w:cs="Times New Roman"/>
        </w:rPr>
      </w:pPr>
      <w:r w:rsidRPr="008156C9">
        <w:rPr>
          <w:rFonts w:ascii="Times New Roman" w:hAnsi="Times New Roman" w:cs="Times New Roman"/>
        </w:rPr>
        <w:t>Whereas, Awareness of the importance of developing faculty hiring processes to increase the diversity of candidates applying and being interviewed for full</w:t>
      </w:r>
      <w:r w:rsidR="00205F95" w:rsidRPr="008156C9">
        <w:rPr>
          <w:rFonts w:ascii="Times New Roman" w:hAnsi="Times New Roman" w:cs="Times New Roman"/>
        </w:rPr>
        <w:t>-</w:t>
      </w:r>
      <w:r w:rsidRPr="008156C9">
        <w:rPr>
          <w:rFonts w:ascii="Times New Roman" w:hAnsi="Times New Roman" w:cs="Times New Roman"/>
        </w:rPr>
        <w:t xml:space="preserve">time faculty positions has become more significant throughout the system, including the drafting and recent release by the Chancellor’s Office of the </w:t>
      </w:r>
      <w:r w:rsidRPr="008156C9">
        <w:rPr>
          <w:rFonts w:ascii="Times New Roman" w:hAnsi="Times New Roman" w:cs="Times New Roman"/>
          <w:i/>
        </w:rPr>
        <w:t>E</w:t>
      </w:r>
      <w:r w:rsidR="008C4400" w:rsidRPr="008156C9">
        <w:rPr>
          <w:rFonts w:ascii="Times New Roman" w:hAnsi="Times New Roman" w:cs="Times New Roman"/>
          <w:i/>
        </w:rPr>
        <w:t xml:space="preserve">qual </w:t>
      </w:r>
      <w:r w:rsidRPr="008156C9">
        <w:rPr>
          <w:rFonts w:ascii="Times New Roman" w:hAnsi="Times New Roman" w:cs="Times New Roman"/>
          <w:i/>
        </w:rPr>
        <w:t>E</w:t>
      </w:r>
      <w:r w:rsidR="008C4400" w:rsidRPr="008156C9">
        <w:rPr>
          <w:rFonts w:ascii="Times New Roman" w:hAnsi="Times New Roman" w:cs="Times New Roman"/>
          <w:i/>
        </w:rPr>
        <w:t xml:space="preserve">mployment </w:t>
      </w:r>
      <w:r w:rsidRPr="008156C9">
        <w:rPr>
          <w:rFonts w:ascii="Times New Roman" w:hAnsi="Times New Roman" w:cs="Times New Roman"/>
          <w:i/>
        </w:rPr>
        <w:t>O</w:t>
      </w:r>
      <w:r w:rsidR="008C4400" w:rsidRPr="008156C9">
        <w:rPr>
          <w:rFonts w:ascii="Times New Roman" w:hAnsi="Times New Roman" w:cs="Times New Roman"/>
          <w:i/>
        </w:rPr>
        <w:t>pportunity (EEO)</w:t>
      </w:r>
      <w:r w:rsidRPr="008156C9">
        <w:rPr>
          <w:rFonts w:ascii="Times New Roman" w:hAnsi="Times New Roman" w:cs="Times New Roman"/>
          <w:i/>
        </w:rPr>
        <w:t xml:space="preserve"> and Diversity Best Practices Handbook</w:t>
      </w:r>
      <w:r w:rsidR="00885907" w:rsidRPr="008156C9">
        <w:rPr>
          <w:rStyle w:val="FootnoteReference"/>
          <w:rFonts w:ascii="Times New Roman" w:hAnsi="Times New Roman" w:cs="Times New Roman"/>
          <w:i/>
        </w:rPr>
        <w:footnoteReference w:id="2"/>
      </w:r>
      <w:r w:rsidRPr="008156C9">
        <w:rPr>
          <w:rFonts w:ascii="Times New Roman" w:hAnsi="Times New Roman" w:cs="Times New Roman"/>
        </w:rPr>
        <w:t xml:space="preserve"> which provides an explanation of the recently-adopted, multiple methods allocation model for </w:t>
      </w:r>
      <w:r w:rsidR="008C4400" w:rsidRPr="008156C9">
        <w:rPr>
          <w:rFonts w:ascii="Times New Roman" w:hAnsi="Times New Roman" w:cs="Times New Roman"/>
        </w:rPr>
        <w:t>EEO</w:t>
      </w:r>
      <w:r w:rsidRPr="008156C9">
        <w:rPr>
          <w:rFonts w:ascii="Times New Roman" w:hAnsi="Times New Roman" w:cs="Times New Roman"/>
        </w:rPr>
        <w:t xml:space="preserve"> funding and model practices for addressing the nine multiple methods described in the allocation model; and</w:t>
      </w:r>
    </w:p>
    <w:p w14:paraId="7AC91EA3" w14:textId="77777777" w:rsidR="00A8713A" w:rsidRPr="008156C9" w:rsidRDefault="00A8713A" w:rsidP="00C25C90">
      <w:pPr>
        <w:rPr>
          <w:rFonts w:ascii="Times New Roman" w:hAnsi="Times New Roman" w:cs="Times New Roman"/>
        </w:rPr>
      </w:pPr>
    </w:p>
    <w:p w14:paraId="10A95CF0" w14:textId="1F7C5270" w:rsidR="00A8713A" w:rsidRPr="008156C9" w:rsidRDefault="00A8713A" w:rsidP="00C25C90">
      <w:pPr>
        <w:rPr>
          <w:rFonts w:ascii="Times New Roman" w:hAnsi="Times New Roman" w:cs="Times New Roman"/>
        </w:rPr>
      </w:pPr>
      <w:r w:rsidRPr="008156C9">
        <w:rPr>
          <w:rFonts w:ascii="Times New Roman" w:hAnsi="Times New Roman" w:cs="Times New Roman"/>
        </w:rPr>
        <w:t xml:space="preserve">Whereas, The report from the Board </w:t>
      </w:r>
      <w:r w:rsidR="008C4400" w:rsidRPr="008156C9">
        <w:rPr>
          <w:rFonts w:ascii="Times New Roman" w:hAnsi="Times New Roman" w:cs="Times New Roman"/>
        </w:rPr>
        <w:t xml:space="preserve">of </w:t>
      </w:r>
      <w:r w:rsidRPr="008156C9">
        <w:rPr>
          <w:rFonts w:ascii="Times New Roman" w:hAnsi="Times New Roman" w:cs="Times New Roman"/>
        </w:rPr>
        <w:t xml:space="preserve">Governors’ Task Force on Workforce, Job Creation, and a Strong Economy included recommendations </w:t>
      </w:r>
      <w:r w:rsidR="009403CC" w:rsidRPr="008156C9">
        <w:rPr>
          <w:rFonts w:ascii="Times New Roman" w:hAnsi="Times New Roman" w:cs="Times New Roman"/>
        </w:rPr>
        <w:t xml:space="preserve">to </w:t>
      </w:r>
      <w:r w:rsidRPr="008156C9">
        <w:rPr>
          <w:rFonts w:ascii="Times New Roman" w:hAnsi="Times New Roman" w:cs="Times New Roman"/>
        </w:rPr>
        <w:t xml:space="preserve">expand the pool of potential </w:t>
      </w:r>
      <w:r w:rsidR="009403CC" w:rsidRPr="008156C9">
        <w:rPr>
          <w:rFonts w:ascii="Times New Roman" w:hAnsi="Times New Roman" w:cs="Times New Roman"/>
        </w:rPr>
        <w:t xml:space="preserve">career </w:t>
      </w:r>
      <w:r w:rsidRPr="008156C9">
        <w:rPr>
          <w:rFonts w:ascii="Times New Roman" w:hAnsi="Times New Roman" w:cs="Times New Roman"/>
        </w:rPr>
        <w:t xml:space="preserve">and </w:t>
      </w:r>
      <w:r w:rsidR="009403CC" w:rsidRPr="008156C9">
        <w:rPr>
          <w:rFonts w:ascii="Times New Roman" w:hAnsi="Times New Roman" w:cs="Times New Roman"/>
        </w:rPr>
        <w:t xml:space="preserve">technical education </w:t>
      </w:r>
      <w:r w:rsidRPr="008156C9">
        <w:rPr>
          <w:rFonts w:ascii="Times New Roman" w:hAnsi="Times New Roman" w:cs="Times New Roman"/>
        </w:rPr>
        <w:t>(CTE) facult</w:t>
      </w:r>
      <w:r w:rsidR="004B7C70" w:rsidRPr="008156C9">
        <w:rPr>
          <w:rFonts w:ascii="Times New Roman" w:hAnsi="Times New Roman" w:cs="Times New Roman"/>
        </w:rPr>
        <w:t>y with industry experience</w:t>
      </w:r>
      <w:r w:rsidR="000C56E0" w:rsidRPr="008156C9">
        <w:rPr>
          <w:rFonts w:ascii="Times New Roman" w:hAnsi="Times New Roman" w:cs="Times New Roman"/>
        </w:rPr>
        <w:t>,</w:t>
      </w:r>
      <w:r w:rsidR="004B7C70" w:rsidRPr="008156C9">
        <w:rPr>
          <w:rFonts w:ascii="Times New Roman" w:hAnsi="Times New Roman" w:cs="Times New Roman"/>
        </w:rPr>
        <w:t xml:space="preserve"> and</w:t>
      </w:r>
      <w:r w:rsidRPr="008156C9">
        <w:rPr>
          <w:rFonts w:ascii="Times New Roman" w:hAnsi="Times New Roman" w:cs="Times New Roman"/>
        </w:rPr>
        <w:t xml:space="preserve"> subsequent efforts by the ASCCC and the Chancellor’s Office CTE Minimum Qualifications Task Force </w:t>
      </w:r>
      <w:r w:rsidR="00282726" w:rsidRPr="008156C9">
        <w:rPr>
          <w:rFonts w:ascii="Times New Roman" w:hAnsi="Times New Roman" w:cs="Times New Roman"/>
        </w:rPr>
        <w:t>have been made to</w:t>
      </w:r>
      <w:r w:rsidR="00A4049A" w:rsidRPr="008156C9">
        <w:rPr>
          <w:rFonts w:ascii="Times New Roman" w:hAnsi="Times New Roman" w:cs="Times New Roman"/>
        </w:rPr>
        <w:t xml:space="preserve"> assist</w:t>
      </w:r>
      <w:r w:rsidRPr="008156C9">
        <w:rPr>
          <w:rFonts w:ascii="Times New Roman" w:hAnsi="Times New Roman" w:cs="Times New Roman"/>
        </w:rPr>
        <w:t xml:space="preserve"> colleges </w:t>
      </w:r>
      <w:r w:rsidR="00282726" w:rsidRPr="008156C9">
        <w:rPr>
          <w:rFonts w:ascii="Times New Roman" w:hAnsi="Times New Roman" w:cs="Times New Roman"/>
        </w:rPr>
        <w:t>to be more flexible when</w:t>
      </w:r>
      <w:r w:rsidRPr="008156C9">
        <w:rPr>
          <w:rFonts w:ascii="Times New Roman" w:hAnsi="Times New Roman" w:cs="Times New Roman"/>
        </w:rPr>
        <w:t xml:space="preserve"> hiring CTE faculty while maintaining high academic and professional standards; </w:t>
      </w:r>
    </w:p>
    <w:p w14:paraId="4C5F1F81" w14:textId="77777777" w:rsidR="00A8713A" w:rsidRPr="008156C9" w:rsidRDefault="00A8713A" w:rsidP="00C25C90">
      <w:pPr>
        <w:rPr>
          <w:rFonts w:ascii="Times New Roman" w:hAnsi="Times New Roman" w:cs="Times New Roman"/>
        </w:rPr>
      </w:pPr>
    </w:p>
    <w:p w14:paraId="78487A2B" w14:textId="44F37541" w:rsidR="00A8713A" w:rsidRPr="008156C9" w:rsidRDefault="00A8713A" w:rsidP="00C25C90">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update the paper </w:t>
      </w:r>
      <w:r w:rsidRPr="008156C9">
        <w:rPr>
          <w:rFonts w:ascii="Times New Roman" w:hAnsi="Times New Roman" w:cs="Times New Roman"/>
          <w:i/>
        </w:rPr>
        <w:t xml:space="preserve">A Re-examination of Faculty Hiring Processes and Procedures </w:t>
      </w:r>
      <w:r w:rsidRPr="008156C9">
        <w:rPr>
          <w:rFonts w:ascii="Times New Roman" w:hAnsi="Times New Roman" w:cs="Times New Roman"/>
        </w:rPr>
        <w:t xml:space="preserve">and bring it to the </w:t>
      </w:r>
      <w:r w:rsidR="009403CC" w:rsidRPr="008156C9">
        <w:rPr>
          <w:rFonts w:ascii="Times New Roman" w:hAnsi="Times New Roman" w:cs="Times New Roman"/>
        </w:rPr>
        <w:t xml:space="preserve">Spring </w:t>
      </w:r>
      <w:r w:rsidRPr="008156C9">
        <w:rPr>
          <w:rFonts w:ascii="Times New Roman" w:hAnsi="Times New Roman" w:cs="Times New Roman"/>
        </w:rPr>
        <w:t xml:space="preserve">2018 </w:t>
      </w:r>
      <w:r w:rsidR="009403CC" w:rsidRPr="008156C9">
        <w:rPr>
          <w:rFonts w:ascii="Times New Roman" w:hAnsi="Times New Roman" w:cs="Times New Roman"/>
        </w:rPr>
        <w:t xml:space="preserve">Plenary Session </w:t>
      </w:r>
      <w:r w:rsidRPr="008156C9">
        <w:rPr>
          <w:rFonts w:ascii="Times New Roman" w:hAnsi="Times New Roman" w:cs="Times New Roman"/>
        </w:rPr>
        <w:t xml:space="preserve">for </w:t>
      </w:r>
      <w:r w:rsidR="009403CC" w:rsidRPr="008156C9">
        <w:rPr>
          <w:rFonts w:ascii="Times New Roman" w:hAnsi="Times New Roman" w:cs="Times New Roman"/>
        </w:rPr>
        <w:t xml:space="preserve">discussion and possible </w:t>
      </w:r>
      <w:r w:rsidRPr="008156C9">
        <w:rPr>
          <w:rFonts w:ascii="Times New Roman" w:hAnsi="Times New Roman" w:cs="Times New Roman"/>
        </w:rPr>
        <w:t xml:space="preserve">adoption. </w:t>
      </w:r>
    </w:p>
    <w:p w14:paraId="0F83A974" w14:textId="77777777" w:rsidR="00A8713A" w:rsidRPr="008156C9" w:rsidRDefault="00A8713A" w:rsidP="00C25C90">
      <w:pPr>
        <w:rPr>
          <w:rFonts w:ascii="Times New Roman" w:hAnsi="Times New Roman" w:cs="Times New Roman"/>
        </w:rPr>
      </w:pPr>
    </w:p>
    <w:p w14:paraId="490874EC" w14:textId="4AE626EA" w:rsidR="00A8713A" w:rsidRPr="008156C9" w:rsidRDefault="00A8713A" w:rsidP="00C25C90">
      <w:pPr>
        <w:rPr>
          <w:rFonts w:ascii="Times New Roman" w:hAnsi="Times New Roman" w:cs="Times New Roman"/>
        </w:rPr>
      </w:pPr>
      <w:r w:rsidRPr="008156C9">
        <w:rPr>
          <w:rFonts w:ascii="Times New Roman" w:hAnsi="Times New Roman" w:cs="Times New Roman"/>
        </w:rPr>
        <w:t xml:space="preserve">Contact:  Randy Beach, </w:t>
      </w:r>
      <w:r w:rsidR="000439EA" w:rsidRPr="008156C9">
        <w:rPr>
          <w:rFonts w:ascii="Times New Roman" w:eastAsia="Calibri" w:hAnsi="Times New Roman" w:cs="Times New Roman"/>
        </w:rPr>
        <w:t>Equity and Diversity Action</w:t>
      </w:r>
      <w:r w:rsidRPr="008156C9">
        <w:rPr>
          <w:rFonts w:ascii="Times New Roman" w:hAnsi="Times New Roman" w:cs="Times New Roman"/>
        </w:rPr>
        <w:t xml:space="preserve">, and John Freitas, Standards and Practices  </w:t>
      </w:r>
    </w:p>
    <w:p w14:paraId="55AF522E" w14:textId="77777777" w:rsidR="00FC49EF" w:rsidRPr="008156C9" w:rsidRDefault="00FC49EF" w:rsidP="001536F9">
      <w:pPr>
        <w:rPr>
          <w:rFonts w:ascii="Times New Roman" w:eastAsia="Calibri" w:hAnsi="Times New Roman" w:cs="Times New Roman"/>
        </w:rPr>
      </w:pPr>
    </w:p>
    <w:p w14:paraId="77654338" w14:textId="3F3FCE0B" w:rsidR="00AF069A" w:rsidRPr="008156C9" w:rsidRDefault="00C571A1" w:rsidP="00AF069A">
      <w:pPr>
        <w:pStyle w:val="Heading2"/>
      </w:pPr>
      <w:bookmarkStart w:id="4" w:name="_Toc476514174"/>
      <w:r w:rsidRPr="008156C9">
        <w:t>*</w:t>
      </w:r>
      <w:r w:rsidR="0028795F" w:rsidRPr="008156C9">
        <w:t>3.02</w:t>
      </w:r>
      <w:r w:rsidR="00AF069A" w:rsidRPr="008156C9">
        <w:tab/>
        <w:t>S17</w:t>
      </w:r>
      <w:r w:rsidR="00AF069A" w:rsidRPr="008156C9">
        <w:tab/>
        <w:t>Support for Marginalized Students</w:t>
      </w:r>
      <w:bookmarkEnd w:id="4"/>
      <w:r w:rsidR="00AF069A" w:rsidRPr="008156C9">
        <w:t xml:space="preserve"> </w:t>
      </w:r>
    </w:p>
    <w:p w14:paraId="4B3EE3E8" w14:textId="48BAC251" w:rsidR="00AF069A" w:rsidRPr="008156C9" w:rsidRDefault="00AF069A" w:rsidP="00AF069A">
      <w:pPr>
        <w:rPr>
          <w:rFonts w:ascii="Times New Roman" w:hAnsi="Times New Roman" w:cs="Times New Roman"/>
        </w:rPr>
      </w:pPr>
      <w:r w:rsidRPr="008156C9">
        <w:rPr>
          <w:rFonts w:ascii="Times New Roman" w:hAnsi="Times New Roman" w:cs="Times New Roman"/>
        </w:rPr>
        <w:t>Whereas, The Academic Senate for California Community Colleges (ASCCC) embraces equity principles for all in its Values Statement</w:t>
      </w:r>
      <w:r w:rsidRPr="008156C9">
        <w:rPr>
          <w:rStyle w:val="FootnoteReference"/>
          <w:rFonts w:ascii="Times New Roman" w:hAnsi="Times New Roman" w:cs="Times New Roman"/>
        </w:rPr>
        <w:footnoteReference w:id="3"/>
      </w:r>
      <w:r w:rsidRPr="008156C9">
        <w:rPr>
          <w:rFonts w:ascii="Times New Roman" w:hAnsi="Times New Roman" w:cs="Times New Roman"/>
        </w:rPr>
        <w:t xml:space="preserve"> which states </w:t>
      </w:r>
      <w:r w:rsidR="000D4829" w:rsidRPr="008156C9">
        <w:rPr>
          <w:rFonts w:ascii="Times New Roman" w:hAnsi="Times New Roman" w:cs="Times New Roman"/>
        </w:rPr>
        <w:t xml:space="preserve">that </w:t>
      </w:r>
      <w:r w:rsidRPr="008156C9">
        <w:rPr>
          <w:rFonts w:ascii="Times New Roman" w:hAnsi="Times New Roman" w:cs="Times New Roman"/>
        </w:rPr>
        <w:t xml:space="preserve">the ASCCC “works to empower faculty from diverse backgrounds and experiences in order to promote inclusiveness and equity in all of their forms” and supports this same principle as applied to all students and staff; </w:t>
      </w:r>
    </w:p>
    <w:p w14:paraId="46BA1425" w14:textId="77777777" w:rsidR="00AF069A" w:rsidRPr="008156C9" w:rsidRDefault="00AF069A" w:rsidP="00AF069A">
      <w:pPr>
        <w:rPr>
          <w:rFonts w:ascii="Times New Roman" w:hAnsi="Times New Roman" w:cs="Times New Roman"/>
        </w:rPr>
      </w:pPr>
    </w:p>
    <w:p w14:paraId="6BA3B99D" w14:textId="7FA6218E" w:rsidR="00AF069A" w:rsidRPr="008156C9" w:rsidRDefault="00AF069A" w:rsidP="00AF069A">
      <w:pPr>
        <w:rPr>
          <w:rFonts w:ascii="Times New Roman" w:hAnsi="Times New Roman" w:cs="Times New Roman"/>
        </w:rPr>
      </w:pPr>
      <w:r w:rsidRPr="008156C9">
        <w:rPr>
          <w:rFonts w:ascii="Times New Roman" w:hAnsi="Times New Roman" w:cs="Times New Roman"/>
        </w:rPr>
        <w:t xml:space="preserve">Whereas, Recent actions and rhetoric by federal government officials and the </w:t>
      </w:r>
      <w:r w:rsidR="000D4829" w:rsidRPr="008156C9">
        <w:rPr>
          <w:rFonts w:ascii="Times New Roman" w:hAnsi="Times New Roman" w:cs="Times New Roman"/>
        </w:rPr>
        <w:t xml:space="preserve">president </w:t>
      </w:r>
      <w:r w:rsidRPr="008156C9">
        <w:rPr>
          <w:rFonts w:ascii="Times New Roman" w:hAnsi="Times New Roman" w:cs="Times New Roman"/>
        </w:rPr>
        <w:t xml:space="preserve">of the United States have resulted in escalating concerns and fears on the part of students who identify with traditionally marginalized identities including, but not limited to, </w:t>
      </w:r>
      <w:r w:rsidR="00181403" w:rsidRPr="008156C9">
        <w:rPr>
          <w:rFonts w:ascii="Times New Roman" w:hAnsi="Times New Roman" w:cs="Times New Roman"/>
        </w:rPr>
        <w:t>LGBTQIA+</w:t>
      </w:r>
      <w:r w:rsidRPr="008156C9">
        <w:rPr>
          <w:rFonts w:ascii="Times New Roman" w:hAnsi="Times New Roman" w:cs="Times New Roman"/>
        </w:rPr>
        <w:t xml:space="preserve"> students</w:t>
      </w:r>
      <w:r w:rsidR="000C56E0" w:rsidRPr="008156C9">
        <w:rPr>
          <w:rFonts w:ascii="Times New Roman" w:hAnsi="Times New Roman" w:cs="Times New Roman"/>
        </w:rPr>
        <w:t xml:space="preserve">, students </w:t>
      </w:r>
      <w:r w:rsidR="000D4829" w:rsidRPr="008156C9">
        <w:rPr>
          <w:rFonts w:ascii="Times New Roman" w:hAnsi="Times New Roman" w:cs="Times New Roman"/>
        </w:rPr>
        <w:t xml:space="preserve">who may </w:t>
      </w:r>
      <w:r w:rsidRPr="008156C9">
        <w:rPr>
          <w:rFonts w:ascii="Times New Roman" w:hAnsi="Times New Roman" w:cs="Times New Roman"/>
        </w:rPr>
        <w:t xml:space="preserve">belong to targeted religious groups, undocumented immigrant students, </w:t>
      </w:r>
      <w:r w:rsidR="000D4829" w:rsidRPr="008156C9">
        <w:rPr>
          <w:rFonts w:ascii="Times New Roman" w:hAnsi="Times New Roman" w:cs="Times New Roman"/>
        </w:rPr>
        <w:t xml:space="preserve">or </w:t>
      </w:r>
      <w:r w:rsidR="000C56E0" w:rsidRPr="008156C9">
        <w:rPr>
          <w:rFonts w:ascii="Times New Roman" w:hAnsi="Times New Roman" w:cs="Times New Roman"/>
        </w:rPr>
        <w:t xml:space="preserve">students with </w:t>
      </w:r>
      <w:r w:rsidRPr="008156C9">
        <w:rPr>
          <w:rFonts w:ascii="Times New Roman" w:hAnsi="Times New Roman" w:cs="Times New Roman"/>
        </w:rPr>
        <w:t xml:space="preserve">Deferred Action for Childhood Arrivals (DACA) </w:t>
      </w:r>
      <w:r w:rsidR="000C56E0" w:rsidRPr="008156C9">
        <w:rPr>
          <w:rFonts w:ascii="Times New Roman" w:hAnsi="Times New Roman" w:cs="Times New Roman"/>
        </w:rPr>
        <w:t>status</w:t>
      </w:r>
      <w:r w:rsidRPr="008156C9">
        <w:rPr>
          <w:rFonts w:ascii="Times New Roman" w:hAnsi="Times New Roman" w:cs="Times New Roman"/>
        </w:rPr>
        <w:t xml:space="preserve">; and </w:t>
      </w:r>
    </w:p>
    <w:p w14:paraId="0314A4A4" w14:textId="77777777" w:rsidR="00AF069A" w:rsidRPr="008156C9" w:rsidRDefault="00AF069A" w:rsidP="00AF069A">
      <w:pPr>
        <w:rPr>
          <w:rFonts w:ascii="Times New Roman" w:hAnsi="Times New Roman" w:cs="Times New Roman"/>
        </w:rPr>
      </w:pPr>
    </w:p>
    <w:p w14:paraId="49FCCA92" w14:textId="0E047BEE" w:rsidR="00AF069A" w:rsidRPr="008156C9" w:rsidRDefault="00AF069A" w:rsidP="00AF069A">
      <w:pPr>
        <w:rPr>
          <w:rFonts w:ascii="Times New Roman" w:hAnsi="Times New Roman" w:cs="Times New Roman"/>
        </w:rPr>
      </w:pPr>
      <w:r w:rsidRPr="008156C9">
        <w:rPr>
          <w:rFonts w:ascii="Times New Roman" w:hAnsi="Times New Roman" w:cs="Times New Roman"/>
        </w:rPr>
        <w:lastRenderedPageBreak/>
        <w:t xml:space="preserve">Whereas, College and local senate leaders who wish to address the concerns of students but are uncertain as to the impact of passing local resolutions declaring their campuses to be “sanctuary” campuses </w:t>
      </w:r>
      <w:r w:rsidR="000D4829" w:rsidRPr="008156C9">
        <w:rPr>
          <w:rFonts w:ascii="Times New Roman" w:hAnsi="Times New Roman" w:cs="Times New Roman"/>
        </w:rPr>
        <w:t xml:space="preserve">including consideration of the </w:t>
      </w:r>
      <w:r w:rsidRPr="008156C9">
        <w:rPr>
          <w:rFonts w:ascii="Times New Roman" w:hAnsi="Times New Roman" w:cs="Times New Roman"/>
        </w:rPr>
        <w:t xml:space="preserve">liabilities and restrictions that self-designation may cause; </w:t>
      </w:r>
    </w:p>
    <w:p w14:paraId="01F41637" w14:textId="77777777" w:rsidR="00AF069A" w:rsidRPr="008156C9" w:rsidRDefault="00AF069A" w:rsidP="00AF069A">
      <w:pPr>
        <w:rPr>
          <w:rFonts w:ascii="Times New Roman" w:hAnsi="Times New Roman" w:cs="Times New Roman"/>
        </w:rPr>
      </w:pPr>
    </w:p>
    <w:p w14:paraId="0C04F7ED" w14:textId="5D131122" w:rsidR="00AF069A" w:rsidRPr="008156C9" w:rsidRDefault="00AF069A" w:rsidP="00AF069A">
      <w:pPr>
        <w:rPr>
          <w:rFonts w:ascii="Times New Roman" w:hAnsi="Times New Roman" w:cs="Times New Roman"/>
        </w:rPr>
      </w:pPr>
      <w:r w:rsidRPr="008156C9">
        <w:rPr>
          <w:rFonts w:ascii="Times New Roman" w:hAnsi="Times New Roman" w:cs="Times New Roman"/>
        </w:rPr>
        <w:t>Resolved, That the Academic Senate for California Community Colleges support the guiding principles set forth by Chancellor Eloy Ortiz Oakley in the December 6, 2016</w:t>
      </w:r>
      <w:r w:rsidR="000D4829" w:rsidRPr="008156C9">
        <w:rPr>
          <w:rFonts w:ascii="Times New Roman" w:hAnsi="Times New Roman" w:cs="Times New Roman"/>
        </w:rPr>
        <w:t>,</w:t>
      </w:r>
      <w:r w:rsidRPr="008156C9">
        <w:rPr>
          <w:rFonts w:ascii="Times New Roman" w:hAnsi="Times New Roman" w:cs="Times New Roman"/>
        </w:rPr>
        <w:t xml:space="preserve"> press release “California Community Colleges Chancellor’s Office Provides Guidance Related to Undocumented Students”</w:t>
      </w:r>
      <w:r w:rsidRPr="008156C9">
        <w:rPr>
          <w:rStyle w:val="FootnoteReference"/>
          <w:rFonts w:ascii="Times New Roman" w:hAnsi="Times New Roman" w:cs="Times New Roman"/>
        </w:rPr>
        <w:footnoteReference w:id="4"/>
      </w:r>
      <w:r w:rsidRPr="008156C9">
        <w:rPr>
          <w:rFonts w:ascii="Times New Roman" w:hAnsi="Times New Roman" w:cs="Times New Roman"/>
        </w:rPr>
        <w:t xml:space="preserve"> which states that “California Community Colleges are open to all students who meet the minimum requirements for admission, regardless of immigration status”;</w:t>
      </w:r>
    </w:p>
    <w:p w14:paraId="35A7FE91" w14:textId="77777777" w:rsidR="00AF069A" w:rsidRPr="008156C9" w:rsidRDefault="00AF069A" w:rsidP="00AF069A">
      <w:pPr>
        <w:rPr>
          <w:rFonts w:ascii="Times New Roman" w:hAnsi="Times New Roman" w:cs="Times New Roman"/>
        </w:rPr>
      </w:pPr>
    </w:p>
    <w:p w14:paraId="08DDC561" w14:textId="1BEF07D4" w:rsidR="00AF069A" w:rsidRPr="008156C9" w:rsidRDefault="00AF069A" w:rsidP="00AF069A">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work with the Chancellor’s </w:t>
      </w:r>
      <w:r w:rsidR="00181403">
        <w:rPr>
          <w:rFonts w:ascii="Times New Roman" w:hAnsi="Times New Roman" w:cs="Times New Roman"/>
        </w:rPr>
        <w:t>O</w:t>
      </w:r>
      <w:r w:rsidRPr="008156C9">
        <w:rPr>
          <w:rFonts w:ascii="Times New Roman" w:hAnsi="Times New Roman" w:cs="Times New Roman"/>
        </w:rPr>
        <w:t>ffice to provide legal guidance to colleges considering passing resolutions expressing support for marginalized student populations including, but not limited to, LGBTQ</w:t>
      </w:r>
      <w:r w:rsidR="009034C4" w:rsidRPr="008156C9">
        <w:rPr>
          <w:rFonts w:ascii="Times New Roman" w:hAnsi="Times New Roman" w:cs="Times New Roman"/>
        </w:rPr>
        <w:t>IA+</w:t>
      </w:r>
      <w:r w:rsidRPr="008156C9">
        <w:rPr>
          <w:rFonts w:ascii="Times New Roman" w:hAnsi="Times New Roman" w:cs="Times New Roman"/>
        </w:rPr>
        <w:t xml:space="preserve"> students, students belonging to targeted religious groups, undocumented immigrant students, and Deferred Action for Childhood Arrivals (DACA) students; and </w:t>
      </w:r>
    </w:p>
    <w:p w14:paraId="3EE9D415" w14:textId="77777777" w:rsidR="00AF069A" w:rsidRPr="008156C9" w:rsidRDefault="00AF069A" w:rsidP="00AF069A">
      <w:pPr>
        <w:rPr>
          <w:rFonts w:ascii="Times New Roman" w:hAnsi="Times New Roman" w:cs="Times New Roman"/>
        </w:rPr>
      </w:pPr>
    </w:p>
    <w:p w14:paraId="2EFF328F" w14:textId="32B861D8" w:rsidR="001536F9" w:rsidRPr="008156C9" w:rsidRDefault="00AF069A" w:rsidP="00C25C90">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w:t>
      </w:r>
      <w:r w:rsidR="00181403">
        <w:rPr>
          <w:rFonts w:ascii="Times New Roman" w:hAnsi="Times New Roman" w:cs="Times New Roman"/>
        </w:rPr>
        <w:t xml:space="preserve">(ASCCC) </w:t>
      </w:r>
      <w:r w:rsidRPr="008156C9">
        <w:rPr>
          <w:rFonts w:ascii="Times New Roman" w:hAnsi="Times New Roman" w:cs="Times New Roman"/>
        </w:rPr>
        <w:t>encourage local senates to engage in dialog with other constituent groups in order to best show support for all students and to promote the ASCCC goals of inclusiveness and equity by supporting equal opportunities and equal human dignity for all.</w:t>
      </w:r>
    </w:p>
    <w:p w14:paraId="3F65E418" w14:textId="77777777" w:rsidR="004D4637" w:rsidRPr="008156C9" w:rsidRDefault="004D4637" w:rsidP="00C25C90">
      <w:pPr>
        <w:rPr>
          <w:rFonts w:ascii="Times New Roman" w:hAnsi="Times New Roman" w:cs="Times New Roman"/>
        </w:rPr>
      </w:pPr>
    </w:p>
    <w:p w14:paraId="4BB9BE8A" w14:textId="197E8577" w:rsidR="0010116B" w:rsidRPr="008156C9" w:rsidRDefault="0010116B" w:rsidP="00C25C90">
      <w:pPr>
        <w:rPr>
          <w:rFonts w:ascii="Times New Roman" w:hAnsi="Times New Roman" w:cs="Times New Roman"/>
        </w:rPr>
      </w:pPr>
      <w:r w:rsidRPr="008156C9">
        <w:rPr>
          <w:rFonts w:ascii="Times New Roman" w:hAnsi="Times New Roman" w:cs="Times New Roman"/>
        </w:rPr>
        <w:t>Contact:</w:t>
      </w:r>
      <w:r w:rsidR="009A199F" w:rsidRPr="008156C9">
        <w:rPr>
          <w:rFonts w:ascii="Times New Roman" w:hAnsi="Times New Roman" w:cs="Times New Roman"/>
        </w:rPr>
        <w:t xml:space="preserve"> </w:t>
      </w:r>
      <w:r w:rsidR="006B0CCA" w:rsidRPr="008156C9">
        <w:rPr>
          <w:rFonts w:ascii="Times New Roman" w:hAnsi="Times New Roman" w:cs="Times New Roman"/>
        </w:rPr>
        <w:t>Martin Ramey</w:t>
      </w:r>
      <w:r w:rsidR="009A199F" w:rsidRPr="008156C9">
        <w:rPr>
          <w:rFonts w:ascii="Times New Roman" w:hAnsi="Times New Roman" w:cs="Times New Roman"/>
        </w:rPr>
        <w:t xml:space="preserve">, Equity and Diversity Action </w:t>
      </w:r>
    </w:p>
    <w:p w14:paraId="59BD600A" w14:textId="77777777" w:rsidR="00193784" w:rsidRPr="008156C9" w:rsidRDefault="00193784" w:rsidP="00C25C90">
      <w:pPr>
        <w:rPr>
          <w:rFonts w:ascii="Times New Roman" w:hAnsi="Times New Roman" w:cs="Times New Roman"/>
        </w:rPr>
      </w:pPr>
    </w:p>
    <w:p w14:paraId="76C820DE" w14:textId="1E4C58CB" w:rsidR="00193784" w:rsidRPr="008156C9" w:rsidRDefault="00C571A1" w:rsidP="00193784">
      <w:pPr>
        <w:pStyle w:val="Heading2"/>
      </w:pPr>
      <w:bookmarkStart w:id="5" w:name="_Toc476514175"/>
      <w:r w:rsidRPr="008156C9">
        <w:t>*</w:t>
      </w:r>
      <w:r w:rsidR="0028795F" w:rsidRPr="008156C9">
        <w:t>3.03</w:t>
      </w:r>
      <w:r w:rsidR="00193784" w:rsidRPr="008156C9">
        <w:tab/>
        <w:t>S17</w:t>
      </w:r>
      <w:r w:rsidR="00193784" w:rsidRPr="008156C9">
        <w:tab/>
        <w:t xml:space="preserve">Support for Students with Deferred Action for Childhood Arrivals (DACA) </w:t>
      </w:r>
      <w:r w:rsidR="00181403">
        <w:tab/>
      </w:r>
      <w:r w:rsidR="00181403">
        <w:tab/>
      </w:r>
      <w:r w:rsidR="00181403">
        <w:tab/>
      </w:r>
      <w:r w:rsidR="00193784" w:rsidRPr="008156C9">
        <w:t>Status</w:t>
      </w:r>
      <w:bookmarkEnd w:id="5"/>
    </w:p>
    <w:p w14:paraId="76A1D351" w14:textId="77777777" w:rsidR="00193784" w:rsidRPr="008156C9" w:rsidRDefault="00193784" w:rsidP="00193784">
      <w:pPr>
        <w:rPr>
          <w:rFonts w:ascii="Times New Roman" w:eastAsia="MS Mincho" w:hAnsi="Times New Roman" w:cs="Times New Roman"/>
        </w:rPr>
      </w:pPr>
    </w:p>
    <w:p w14:paraId="3934AF35" w14:textId="77777777" w:rsidR="00193784" w:rsidRPr="008156C9" w:rsidRDefault="00193784" w:rsidP="00193784">
      <w:pPr>
        <w:rPr>
          <w:rFonts w:ascii="Times New Roman" w:eastAsia="MS Mincho" w:hAnsi="Times New Roman" w:cs="Times New Roman"/>
        </w:rPr>
      </w:pPr>
      <w:r w:rsidRPr="008156C9">
        <w:rPr>
          <w:rFonts w:ascii="Times New Roman" w:eastAsia="MS Mincho" w:hAnsi="Times New Roman" w:cs="Times New Roman"/>
        </w:rPr>
        <w:t xml:space="preserve">Whereas, Faculty throughout the country are concerned about the reported potential ending of the Deferred Action for Childhood Arrivals (DACA) program, which has allowed undocumented immigrants who were brought to the United States before their 16th birthday prior to June 2007 to remain in the United States under specific conditions and to apply for renewal of this program every two years; </w:t>
      </w:r>
    </w:p>
    <w:p w14:paraId="35324392" w14:textId="77777777" w:rsidR="00193784" w:rsidRPr="008156C9" w:rsidRDefault="00193784" w:rsidP="00193784">
      <w:pPr>
        <w:rPr>
          <w:rFonts w:ascii="Times New Roman" w:eastAsia="MS Mincho" w:hAnsi="Times New Roman" w:cs="Times New Roman"/>
        </w:rPr>
      </w:pPr>
    </w:p>
    <w:p w14:paraId="6456FE2C" w14:textId="77777777" w:rsidR="00193784" w:rsidRPr="008156C9" w:rsidRDefault="00193784" w:rsidP="00193784">
      <w:pPr>
        <w:rPr>
          <w:rFonts w:ascii="Times New Roman" w:eastAsia="MS Mincho" w:hAnsi="Times New Roman" w:cs="Times New Roman"/>
        </w:rPr>
      </w:pPr>
      <w:r w:rsidRPr="008156C9">
        <w:rPr>
          <w:rFonts w:ascii="Times New Roman" w:eastAsia="MS Mincho" w:hAnsi="Times New Roman" w:cs="Times New Roman"/>
        </w:rPr>
        <w:t>Whereas, To be eligible for the DACA program, applicants must have demonstrated lawful conduct, and must be either currently enrolled in school, be a high school graduate, or be honorably discharged from the military</w:t>
      </w:r>
      <w:r w:rsidRPr="008156C9">
        <w:rPr>
          <w:rFonts w:ascii="Times New Roman" w:eastAsia="MS Mincho" w:hAnsi="Times New Roman" w:cs="Times New Roman"/>
          <w:vertAlign w:val="superscript"/>
        </w:rPr>
        <w:footnoteReference w:id="5"/>
      </w:r>
      <w:r w:rsidRPr="008156C9">
        <w:rPr>
          <w:rFonts w:ascii="Times New Roman" w:eastAsia="MS Mincho" w:hAnsi="Times New Roman" w:cs="Times New Roman"/>
        </w:rPr>
        <w:t xml:space="preserve">; </w:t>
      </w:r>
    </w:p>
    <w:p w14:paraId="7861B86B" w14:textId="77777777" w:rsidR="00193784" w:rsidRPr="008156C9" w:rsidRDefault="00193784" w:rsidP="00193784">
      <w:pPr>
        <w:rPr>
          <w:rFonts w:ascii="Times New Roman" w:eastAsia="MS Mincho" w:hAnsi="Times New Roman" w:cs="Times New Roman"/>
        </w:rPr>
      </w:pPr>
    </w:p>
    <w:p w14:paraId="57ECEA4A" w14:textId="77777777" w:rsidR="00193784" w:rsidRPr="008156C9" w:rsidRDefault="00193784" w:rsidP="00193784">
      <w:pPr>
        <w:rPr>
          <w:rFonts w:ascii="Times New Roman" w:eastAsia="MS Mincho" w:hAnsi="Times New Roman" w:cs="Times New Roman"/>
        </w:rPr>
      </w:pPr>
      <w:r w:rsidRPr="008156C9">
        <w:rPr>
          <w:rFonts w:ascii="Times New Roman" w:eastAsia="MS Mincho" w:hAnsi="Times New Roman" w:cs="Times New Roman"/>
        </w:rPr>
        <w:t xml:space="preserve">Whereas, Significant numbers of DACA students have attended and continue to attend California community colleges; and </w:t>
      </w:r>
    </w:p>
    <w:p w14:paraId="36E4F7D1" w14:textId="77777777" w:rsidR="00193784" w:rsidRPr="008156C9" w:rsidRDefault="00193784" w:rsidP="00193784">
      <w:pPr>
        <w:rPr>
          <w:rFonts w:ascii="Times New Roman" w:eastAsia="MS Mincho" w:hAnsi="Times New Roman" w:cs="Times New Roman"/>
        </w:rPr>
      </w:pPr>
    </w:p>
    <w:p w14:paraId="0903EC17" w14:textId="32257625" w:rsidR="00193784" w:rsidRPr="008156C9" w:rsidRDefault="00193784" w:rsidP="00193784">
      <w:pPr>
        <w:rPr>
          <w:rFonts w:ascii="Times New Roman" w:eastAsia="MS Mincho" w:hAnsi="Times New Roman" w:cs="Times New Roman"/>
        </w:rPr>
      </w:pPr>
      <w:r w:rsidRPr="008156C9">
        <w:rPr>
          <w:rFonts w:ascii="Times New Roman" w:eastAsia="MS Mincho" w:hAnsi="Times New Roman" w:cs="Times New Roman"/>
        </w:rPr>
        <w:lastRenderedPageBreak/>
        <w:t xml:space="preserve">Whereas, DACA students are representative of the students on whom the future of the </w:t>
      </w:r>
      <w:r w:rsidR="00181403">
        <w:rPr>
          <w:rFonts w:ascii="Times New Roman" w:eastAsia="MS Mincho" w:hAnsi="Times New Roman" w:cs="Times New Roman"/>
        </w:rPr>
        <w:t>S</w:t>
      </w:r>
      <w:r w:rsidRPr="008156C9">
        <w:rPr>
          <w:rFonts w:ascii="Times New Roman" w:eastAsia="MS Mincho" w:hAnsi="Times New Roman" w:cs="Times New Roman"/>
        </w:rPr>
        <w:t xml:space="preserve">tate of California depends, and their removal from California and the United States would be a devastating loss; </w:t>
      </w:r>
    </w:p>
    <w:p w14:paraId="7684D5B1" w14:textId="77777777" w:rsidR="00193784" w:rsidRPr="008156C9" w:rsidRDefault="00193784" w:rsidP="00193784">
      <w:pPr>
        <w:rPr>
          <w:rFonts w:ascii="Times New Roman" w:eastAsia="MS Mincho" w:hAnsi="Times New Roman" w:cs="Times New Roman"/>
        </w:rPr>
      </w:pPr>
    </w:p>
    <w:p w14:paraId="7F784BE9" w14:textId="06C4D2F6" w:rsidR="00193784" w:rsidRPr="008156C9" w:rsidRDefault="00193784" w:rsidP="00193784">
      <w:pPr>
        <w:rPr>
          <w:rFonts w:ascii="Times New Roman" w:eastAsia="MS Mincho" w:hAnsi="Times New Roman" w:cs="Times New Roman"/>
        </w:rPr>
      </w:pPr>
      <w:r w:rsidRPr="008156C9">
        <w:rPr>
          <w:rFonts w:ascii="Times New Roman" w:eastAsia="MS Mincho" w:hAnsi="Times New Roman" w:cs="Times New Roman"/>
        </w:rPr>
        <w:t>Resolved, That the Academic Senate for California Community Colleges affirm its support for students with Deferred Action for Childhood Arrivals status in the California community college system, the other segments of education in Cal</w:t>
      </w:r>
      <w:r w:rsidR="006B0CCA" w:rsidRPr="008156C9">
        <w:rPr>
          <w:rFonts w:ascii="Times New Roman" w:eastAsia="MS Mincho" w:hAnsi="Times New Roman" w:cs="Times New Roman"/>
        </w:rPr>
        <w:t xml:space="preserve">ifornia, and across the nation and </w:t>
      </w:r>
      <w:r w:rsidRPr="008156C9">
        <w:rPr>
          <w:rFonts w:ascii="Times New Roman" w:eastAsia="MS Mincho" w:hAnsi="Times New Roman" w:cs="Times New Roman"/>
        </w:rPr>
        <w:t xml:space="preserve">convey this affirmation to </w:t>
      </w:r>
      <w:r w:rsidR="006A17ED" w:rsidRPr="008156C9">
        <w:rPr>
          <w:rFonts w:ascii="Times New Roman" w:eastAsia="MS Mincho" w:hAnsi="Times New Roman" w:cs="Times New Roman"/>
        </w:rPr>
        <w:t xml:space="preserve">the </w:t>
      </w:r>
      <w:r w:rsidRPr="008156C9">
        <w:rPr>
          <w:rFonts w:ascii="Times New Roman" w:eastAsia="MS Mincho" w:hAnsi="Times New Roman" w:cs="Times New Roman"/>
        </w:rPr>
        <w:t xml:space="preserve">Chancellor </w:t>
      </w:r>
      <w:r w:rsidR="006A17ED" w:rsidRPr="008156C9">
        <w:rPr>
          <w:rFonts w:ascii="Times New Roman" w:eastAsia="MS Mincho" w:hAnsi="Times New Roman" w:cs="Times New Roman"/>
        </w:rPr>
        <w:t>of the California Community Colleges,</w:t>
      </w:r>
      <w:r w:rsidRPr="008156C9">
        <w:rPr>
          <w:rFonts w:ascii="Times New Roman" w:eastAsia="MS Mincho" w:hAnsi="Times New Roman" w:cs="Times New Roman"/>
        </w:rPr>
        <w:t xml:space="preserve"> the Board of Governors, and other interested stakeholders both in the </w:t>
      </w:r>
      <w:r w:rsidR="00181403">
        <w:rPr>
          <w:rFonts w:ascii="Times New Roman" w:eastAsia="MS Mincho" w:hAnsi="Times New Roman" w:cs="Times New Roman"/>
        </w:rPr>
        <w:t>S</w:t>
      </w:r>
      <w:r w:rsidRPr="008156C9">
        <w:rPr>
          <w:rFonts w:ascii="Times New Roman" w:eastAsia="MS Mincho" w:hAnsi="Times New Roman" w:cs="Times New Roman"/>
        </w:rPr>
        <w:t>tate of California and nationally.</w:t>
      </w:r>
    </w:p>
    <w:p w14:paraId="450516D1" w14:textId="77777777" w:rsidR="00193784" w:rsidRPr="008156C9" w:rsidRDefault="00193784" w:rsidP="00193784">
      <w:pPr>
        <w:rPr>
          <w:rFonts w:ascii="Times New Roman" w:eastAsia="MS Mincho" w:hAnsi="Times New Roman" w:cs="Times New Roman"/>
        </w:rPr>
      </w:pPr>
    </w:p>
    <w:p w14:paraId="6F491C6D" w14:textId="1C52B3B0" w:rsidR="00193784" w:rsidRPr="008156C9" w:rsidRDefault="00193784" w:rsidP="00193784">
      <w:pPr>
        <w:rPr>
          <w:rFonts w:ascii="Times New Roman" w:eastAsia="MS Mincho" w:hAnsi="Times New Roman" w:cs="Times New Roman"/>
        </w:rPr>
      </w:pPr>
      <w:r w:rsidRPr="008156C9">
        <w:rPr>
          <w:rFonts w:ascii="Times New Roman" w:eastAsia="MS Mincho" w:hAnsi="Times New Roman" w:cs="Times New Roman"/>
        </w:rPr>
        <w:t>Contact: Executive Committee</w:t>
      </w:r>
    </w:p>
    <w:p w14:paraId="62D46CE5" w14:textId="77777777" w:rsidR="00193784" w:rsidRPr="008156C9" w:rsidRDefault="00193784" w:rsidP="00193784">
      <w:pPr>
        <w:rPr>
          <w:rFonts w:ascii="Times New Roman" w:eastAsia="MS Mincho" w:hAnsi="Times New Roman" w:cs="Times New Roman"/>
        </w:rPr>
      </w:pPr>
    </w:p>
    <w:p w14:paraId="0C32FE3F" w14:textId="494AF34C" w:rsidR="003222E9" w:rsidRPr="008156C9" w:rsidRDefault="003222E9" w:rsidP="003222E9">
      <w:pPr>
        <w:pStyle w:val="Heading1"/>
      </w:pPr>
      <w:bookmarkStart w:id="6" w:name="_Toc476514176"/>
      <w:r w:rsidRPr="008156C9">
        <w:t>5.0</w:t>
      </w:r>
      <w:r w:rsidRPr="008156C9">
        <w:tab/>
        <w:t>BUDGET AND FINANCE</w:t>
      </w:r>
      <w:bookmarkEnd w:id="6"/>
    </w:p>
    <w:p w14:paraId="2086A8BB" w14:textId="0D1ABD2D" w:rsidR="003222E9" w:rsidRPr="008156C9" w:rsidRDefault="00C571A1" w:rsidP="003222E9">
      <w:pPr>
        <w:pStyle w:val="Heading2"/>
      </w:pPr>
      <w:bookmarkStart w:id="7" w:name="_Toc476514177"/>
      <w:r w:rsidRPr="008156C9">
        <w:t>*</w:t>
      </w:r>
      <w:r w:rsidR="003222E9" w:rsidRPr="008156C9">
        <w:t>5.01</w:t>
      </w:r>
      <w:r w:rsidR="003222E9" w:rsidRPr="008156C9">
        <w:tab/>
        <w:t>S17</w:t>
      </w:r>
      <w:r w:rsidR="003222E9" w:rsidRPr="008156C9">
        <w:tab/>
        <w:t xml:space="preserve"> Sustainable Funding for Inmate Education Programs</w:t>
      </w:r>
      <w:bookmarkEnd w:id="7"/>
    </w:p>
    <w:p w14:paraId="6903BFD5" w14:textId="77777777" w:rsidR="003222E9" w:rsidRPr="008156C9" w:rsidRDefault="003222E9" w:rsidP="003222E9">
      <w:pPr>
        <w:rPr>
          <w:rFonts w:ascii="Times New Roman" w:eastAsia="Calibri" w:hAnsi="Times New Roman" w:cs="Times New Roman"/>
        </w:rPr>
      </w:pPr>
    </w:p>
    <w:p w14:paraId="4FE34D88" w14:textId="364A5849"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Whereas, SB1391 (2014, Hancock) waives the open course requirement for community college courses offered in state correctional facilities;</w:t>
      </w:r>
    </w:p>
    <w:p w14:paraId="5E223D9C" w14:textId="77777777" w:rsidR="003222E9" w:rsidRPr="008156C9" w:rsidRDefault="003222E9" w:rsidP="003222E9">
      <w:pPr>
        <w:rPr>
          <w:rFonts w:ascii="Times New Roman" w:eastAsia="Calibri" w:hAnsi="Times New Roman" w:cs="Times New Roman"/>
        </w:rPr>
      </w:pPr>
    </w:p>
    <w:p w14:paraId="62A27664" w14:textId="77777777"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Whereas, As of Academic Year 2016-17, 16 pilot colleges began delivering face-to-face courses inside 32 of the state’s 35 correctional facilities;</w:t>
      </w:r>
    </w:p>
    <w:p w14:paraId="0DA4C9AD" w14:textId="77777777" w:rsidR="003222E9" w:rsidRPr="008156C9" w:rsidRDefault="003222E9" w:rsidP="003222E9">
      <w:pPr>
        <w:rPr>
          <w:rFonts w:ascii="Times New Roman" w:eastAsia="Calibri" w:hAnsi="Times New Roman" w:cs="Times New Roman"/>
        </w:rPr>
      </w:pPr>
    </w:p>
    <w:p w14:paraId="05D9A22E" w14:textId="77777777"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Whereas, Pilot colleges that are delivering instruction in support of academic programs in state correctional facilities express concern that the courses they are offering might be vulnerable during budgetary cuts or when the colleges are at or exceeding growth caps; and</w:t>
      </w:r>
    </w:p>
    <w:p w14:paraId="092F7842" w14:textId="77777777" w:rsidR="003222E9" w:rsidRPr="008156C9" w:rsidRDefault="003222E9" w:rsidP="003222E9">
      <w:pPr>
        <w:rPr>
          <w:rFonts w:ascii="Times New Roman" w:eastAsia="Calibri" w:hAnsi="Times New Roman" w:cs="Times New Roman"/>
        </w:rPr>
      </w:pPr>
    </w:p>
    <w:p w14:paraId="7D2542A1" w14:textId="77777777"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 xml:space="preserve">Whereas, </w:t>
      </w:r>
      <w:proofErr w:type="gramStart"/>
      <w:r w:rsidRPr="008156C9">
        <w:rPr>
          <w:rFonts w:ascii="Times New Roman" w:eastAsia="Calibri" w:hAnsi="Times New Roman" w:cs="Times New Roman"/>
        </w:rPr>
        <w:t>The</w:t>
      </w:r>
      <w:proofErr w:type="gramEnd"/>
      <w:r w:rsidRPr="008156C9">
        <w:rPr>
          <w:rFonts w:ascii="Times New Roman" w:eastAsia="Calibri" w:hAnsi="Times New Roman" w:cs="Times New Roman"/>
        </w:rPr>
        <w:t xml:space="preserve"> current practice of categorically funded programs mitigates the impact of budget cuts and local budgetary decisions on the most vulnerable special populations of students;</w:t>
      </w:r>
    </w:p>
    <w:p w14:paraId="197A25B5" w14:textId="77777777" w:rsidR="003222E9" w:rsidRPr="008156C9" w:rsidRDefault="003222E9" w:rsidP="003222E9">
      <w:pPr>
        <w:rPr>
          <w:rFonts w:ascii="Times New Roman" w:eastAsia="Calibri" w:hAnsi="Times New Roman" w:cs="Times New Roman"/>
        </w:rPr>
      </w:pPr>
    </w:p>
    <w:p w14:paraId="7E05571C" w14:textId="0D34AF96"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Resolved, That the Academic Senate for California Community Colleges urge local academic senates to recognize that serving incarcerated students within the college’s service area is a part of the college’s mission</w:t>
      </w:r>
      <w:r w:rsidR="00CD3DB9" w:rsidRPr="008156C9">
        <w:rPr>
          <w:rFonts w:ascii="Times New Roman" w:eastAsia="Calibri" w:hAnsi="Times New Roman" w:cs="Times New Roman"/>
        </w:rPr>
        <w:t xml:space="preserve"> </w:t>
      </w:r>
      <w:r w:rsidR="00500B9F" w:rsidRPr="008156C9">
        <w:rPr>
          <w:rFonts w:ascii="Times New Roman" w:eastAsia="Calibri" w:hAnsi="Times New Roman" w:cs="Times New Roman"/>
        </w:rPr>
        <w:t xml:space="preserve">and </w:t>
      </w:r>
      <w:r w:rsidR="00CD3DB9" w:rsidRPr="008156C9">
        <w:rPr>
          <w:rFonts w:ascii="Times New Roman" w:eastAsia="Calibri" w:hAnsi="Times New Roman" w:cs="Times New Roman"/>
        </w:rPr>
        <w:t>should be valued and prioritized as other student populations</w:t>
      </w:r>
      <w:r w:rsidRPr="008156C9">
        <w:rPr>
          <w:rFonts w:ascii="Times New Roman" w:eastAsia="Calibri" w:hAnsi="Times New Roman" w:cs="Times New Roman"/>
        </w:rPr>
        <w:t xml:space="preserve">; </w:t>
      </w:r>
    </w:p>
    <w:p w14:paraId="2DEBBC84" w14:textId="77777777" w:rsidR="003222E9" w:rsidRPr="008156C9" w:rsidRDefault="003222E9" w:rsidP="003222E9">
      <w:pPr>
        <w:rPr>
          <w:rFonts w:ascii="Times New Roman" w:eastAsia="Calibri" w:hAnsi="Times New Roman" w:cs="Times New Roman"/>
        </w:rPr>
      </w:pPr>
    </w:p>
    <w:p w14:paraId="47ABEACB" w14:textId="5D29B6F8"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 xml:space="preserve">Resolved, That the Academic Senate for California Community Colleges acknowledge that incarcerated students are among the most disenfranchised of the </w:t>
      </w:r>
      <w:r w:rsidR="00181403">
        <w:rPr>
          <w:rFonts w:ascii="Times New Roman" w:eastAsia="Calibri" w:hAnsi="Times New Roman" w:cs="Times New Roman"/>
        </w:rPr>
        <w:t xml:space="preserve">California </w:t>
      </w:r>
      <w:r w:rsidRPr="008156C9">
        <w:rPr>
          <w:rFonts w:ascii="Times New Roman" w:eastAsia="Calibri" w:hAnsi="Times New Roman" w:cs="Times New Roman"/>
        </w:rPr>
        <w:t>community college student population</w:t>
      </w:r>
      <w:r w:rsidR="00500B9F" w:rsidRPr="008156C9">
        <w:rPr>
          <w:rFonts w:ascii="Times New Roman" w:eastAsia="Calibri" w:hAnsi="Times New Roman" w:cs="Times New Roman"/>
        </w:rPr>
        <w:t>s</w:t>
      </w:r>
      <w:r w:rsidRPr="008156C9">
        <w:rPr>
          <w:rFonts w:ascii="Times New Roman" w:eastAsia="Calibri" w:hAnsi="Times New Roman" w:cs="Times New Roman"/>
        </w:rPr>
        <w:t xml:space="preserve">; and </w:t>
      </w:r>
    </w:p>
    <w:p w14:paraId="295B5B98" w14:textId="77777777" w:rsidR="003222E9" w:rsidRPr="008156C9" w:rsidRDefault="003222E9" w:rsidP="003222E9">
      <w:pPr>
        <w:rPr>
          <w:rFonts w:ascii="Times New Roman" w:eastAsia="Calibri" w:hAnsi="Times New Roman" w:cs="Times New Roman"/>
        </w:rPr>
      </w:pPr>
    </w:p>
    <w:p w14:paraId="30D594A3" w14:textId="5A2ADBE8"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Resolved, That the Academic Senate for California Community Colleges work with the Chancellor’s Office to establish a plan for sustaining the provision of in-person community college courses inside the state’s correctional facilities in an economic downturn</w:t>
      </w:r>
      <w:r w:rsidR="00B707CB" w:rsidRPr="008156C9">
        <w:rPr>
          <w:rFonts w:ascii="Times New Roman" w:eastAsia="Calibri" w:hAnsi="Times New Roman" w:cs="Times New Roman"/>
        </w:rPr>
        <w:t>.</w:t>
      </w:r>
    </w:p>
    <w:p w14:paraId="0CB3F075" w14:textId="77777777" w:rsidR="003222E9" w:rsidRPr="008156C9" w:rsidRDefault="003222E9" w:rsidP="003222E9">
      <w:pPr>
        <w:rPr>
          <w:rFonts w:ascii="Times New Roman" w:eastAsia="Calibri" w:hAnsi="Times New Roman" w:cs="Times New Roman"/>
        </w:rPr>
      </w:pPr>
    </w:p>
    <w:p w14:paraId="6E1C77AA" w14:textId="77777777"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Contact: Cleavon Smith, Equity and Diversity Action, Executive Committee</w:t>
      </w:r>
    </w:p>
    <w:p w14:paraId="6A1AC865" w14:textId="77777777" w:rsidR="003222E9" w:rsidRPr="008156C9" w:rsidRDefault="003222E9" w:rsidP="00193784">
      <w:pPr>
        <w:rPr>
          <w:rFonts w:ascii="Times New Roman" w:eastAsia="MS Mincho" w:hAnsi="Times New Roman" w:cs="Times New Roman"/>
        </w:rPr>
      </w:pPr>
    </w:p>
    <w:p w14:paraId="7BDA7EF3" w14:textId="77777777" w:rsidR="004D4637" w:rsidRPr="008156C9" w:rsidRDefault="004D4637" w:rsidP="004D4637">
      <w:pPr>
        <w:pStyle w:val="Heading1"/>
      </w:pPr>
      <w:bookmarkStart w:id="8" w:name="_Toc476514178"/>
      <w:r w:rsidRPr="008156C9">
        <w:t>6.0</w:t>
      </w:r>
      <w:r w:rsidRPr="008156C9">
        <w:tab/>
        <w:t>STATE AND LEGISLATIVE ISSUES</w:t>
      </w:r>
      <w:bookmarkEnd w:id="8"/>
    </w:p>
    <w:p w14:paraId="084518CE" w14:textId="631BF33A" w:rsidR="004D4637" w:rsidRPr="008156C9" w:rsidRDefault="00C571A1" w:rsidP="004D4637">
      <w:pPr>
        <w:pStyle w:val="Heading2"/>
      </w:pPr>
      <w:bookmarkStart w:id="9" w:name="_Toc476514179"/>
      <w:r w:rsidRPr="008156C9">
        <w:t>*</w:t>
      </w:r>
      <w:r w:rsidR="004D4637" w:rsidRPr="008156C9">
        <w:t>6.01</w:t>
      </w:r>
      <w:r w:rsidR="004D4637" w:rsidRPr="008156C9">
        <w:tab/>
        <w:t>S17</w:t>
      </w:r>
      <w:r w:rsidR="004D4637" w:rsidRPr="008156C9">
        <w:tab/>
        <w:t>Support for AB</w:t>
      </w:r>
      <w:r w:rsidR="00F53997">
        <w:t xml:space="preserve"> </w:t>
      </w:r>
      <w:r w:rsidR="004D4637" w:rsidRPr="008156C9">
        <w:t>204 (Medina</w:t>
      </w:r>
      <w:r w:rsidR="005C4083" w:rsidRPr="008156C9">
        <w:t xml:space="preserve">, </w:t>
      </w:r>
      <w:r w:rsidR="00B57CC0" w:rsidRPr="008156C9">
        <w:t xml:space="preserve">January 23, </w:t>
      </w:r>
      <w:r w:rsidR="005C4083" w:rsidRPr="008156C9">
        <w:t>2017</w:t>
      </w:r>
      <w:r w:rsidR="004D4637" w:rsidRPr="008156C9">
        <w:t>)</w:t>
      </w:r>
      <w:bookmarkEnd w:id="9"/>
    </w:p>
    <w:p w14:paraId="5DD5594C" w14:textId="547EFDFE" w:rsidR="004D4637" w:rsidRPr="008156C9" w:rsidRDefault="004D4637" w:rsidP="004D4637">
      <w:pPr>
        <w:widowControl w:val="0"/>
        <w:autoSpaceDE w:val="0"/>
        <w:autoSpaceDN w:val="0"/>
        <w:adjustRightInd w:val="0"/>
        <w:rPr>
          <w:rFonts w:ascii="Times New Roman" w:hAnsi="Times New Roman" w:cs="Times New Roman"/>
        </w:rPr>
      </w:pPr>
      <w:r w:rsidRPr="008156C9">
        <w:rPr>
          <w:rFonts w:ascii="Times New Roman" w:hAnsi="Times New Roman" w:cs="Times New Roman"/>
        </w:rPr>
        <w:t xml:space="preserve">Whereas, The implementation of the Seymour-Campbell Student Success Act in 2012, enshrined in California Education Code </w:t>
      </w:r>
      <w:r w:rsidR="005C4083" w:rsidRPr="008156C9">
        <w:rPr>
          <w:rFonts w:ascii="Times New Roman" w:hAnsi="Times New Roman" w:cs="Times New Roman"/>
        </w:rPr>
        <w:t>§</w:t>
      </w:r>
      <w:r w:rsidRPr="008156C9">
        <w:rPr>
          <w:rFonts w:ascii="Times New Roman" w:hAnsi="Times New Roman" w:cs="Times New Roman"/>
        </w:rPr>
        <w:t xml:space="preserve">76300, called for a process that revokes a student’s Board of Governors fee waiver in certain instances where the student fails to meet adequate markers of progress toward completion; </w:t>
      </w:r>
    </w:p>
    <w:p w14:paraId="5CCF96DE" w14:textId="77777777" w:rsidR="004D4637" w:rsidRPr="008156C9" w:rsidRDefault="004D4637" w:rsidP="004D4637">
      <w:pPr>
        <w:widowControl w:val="0"/>
        <w:autoSpaceDE w:val="0"/>
        <w:autoSpaceDN w:val="0"/>
        <w:adjustRightInd w:val="0"/>
        <w:rPr>
          <w:rFonts w:ascii="Times New Roman" w:hAnsi="Times New Roman" w:cs="Times New Roman"/>
        </w:rPr>
      </w:pPr>
    </w:p>
    <w:p w14:paraId="22DBAFD2" w14:textId="77CF69BD" w:rsidR="004D4637" w:rsidRPr="008156C9" w:rsidRDefault="004D4637" w:rsidP="004D4637">
      <w:pPr>
        <w:widowControl w:val="0"/>
        <w:autoSpaceDE w:val="0"/>
        <w:autoSpaceDN w:val="0"/>
        <w:adjustRightInd w:val="0"/>
        <w:rPr>
          <w:rFonts w:ascii="Times New Roman" w:hAnsi="Times New Roman" w:cs="Times New Roman"/>
        </w:rPr>
      </w:pPr>
      <w:r w:rsidRPr="008156C9">
        <w:rPr>
          <w:rFonts w:ascii="Times New Roman" w:hAnsi="Times New Roman" w:cs="Times New Roman"/>
        </w:rPr>
        <w:t>Whereas, The Se</w:t>
      </w:r>
      <w:r w:rsidR="00885907" w:rsidRPr="008156C9">
        <w:rPr>
          <w:rFonts w:ascii="Times New Roman" w:hAnsi="Times New Roman" w:cs="Times New Roman"/>
        </w:rPr>
        <w:t>ymour-Campbell Student Success A</w:t>
      </w:r>
      <w:r w:rsidRPr="008156C9">
        <w:rPr>
          <w:rFonts w:ascii="Times New Roman" w:hAnsi="Times New Roman" w:cs="Times New Roman"/>
        </w:rPr>
        <w:t xml:space="preserve">ct of 2012 requires colleges to </w:t>
      </w:r>
      <w:r w:rsidR="00B57CC0" w:rsidRPr="008156C9">
        <w:rPr>
          <w:rFonts w:ascii="Times New Roman" w:hAnsi="Times New Roman" w:cs="Times New Roman"/>
        </w:rPr>
        <w:t xml:space="preserve">afford </w:t>
      </w:r>
      <w:r w:rsidRPr="008156C9">
        <w:rPr>
          <w:rFonts w:ascii="Times New Roman" w:hAnsi="Times New Roman" w:cs="Times New Roman"/>
        </w:rPr>
        <w:t xml:space="preserve">students an appeals process when the fee waiver is revoked but the due process procedures of colleges varies widely across the state; </w:t>
      </w:r>
    </w:p>
    <w:p w14:paraId="60F4D7B7" w14:textId="77777777" w:rsidR="004D4637" w:rsidRPr="008156C9" w:rsidRDefault="004D4637" w:rsidP="004D4637">
      <w:pPr>
        <w:widowControl w:val="0"/>
        <w:autoSpaceDE w:val="0"/>
        <w:autoSpaceDN w:val="0"/>
        <w:adjustRightInd w:val="0"/>
        <w:rPr>
          <w:rFonts w:ascii="Times New Roman" w:hAnsi="Times New Roman" w:cs="Times New Roman"/>
        </w:rPr>
      </w:pPr>
    </w:p>
    <w:p w14:paraId="2C046BD0" w14:textId="3CE84DFF" w:rsidR="004D4637" w:rsidRPr="008156C9" w:rsidRDefault="004D4637" w:rsidP="004D4637">
      <w:pPr>
        <w:widowControl w:val="0"/>
        <w:autoSpaceDE w:val="0"/>
        <w:autoSpaceDN w:val="0"/>
        <w:adjustRightInd w:val="0"/>
        <w:rPr>
          <w:rFonts w:ascii="Times New Roman" w:hAnsi="Times New Roman" w:cs="Times New Roman"/>
        </w:rPr>
      </w:pPr>
      <w:r w:rsidRPr="008156C9">
        <w:rPr>
          <w:rFonts w:ascii="Times New Roman" w:hAnsi="Times New Roman" w:cs="Times New Roman"/>
        </w:rPr>
        <w:t xml:space="preserve">Whereas, Students in urban centers of the state may elect to enroll at a different community college district and re-apply for a fee waiver to start anew and that opportunity is not readily available to students in rural areas of the state; </w:t>
      </w:r>
      <w:r w:rsidR="005C4083" w:rsidRPr="008156C9">
        <w:rPr>
          <w:rFonts w:ascii="Times New Roman" w:hAnsi="Times New Roman" w:cs="Times New Roman"/>
        </w:rPr>
        <w:t>and</w:t>
      </w:r>
    </w:p>
    <w:p w14:paraId="40A8C65B" w14:textId="77777777" w:rsidR="004D4637" w:rsidRPr="008156C9" w:rsidRDefault="004D4637" w:rsidP="004D4637">
      <w:pPr>
        <w:widowControl w:val="0"/>
        <w:autoSpaceDE w:val="0"/>
        <w:autoSpaceDN w:val="0"/>
        <w:adjustRightInd w:val="0"/>
        <w:rPr>
          <w:rFonts w:ascii="Times New Roman" w:hAnsi="Times New Roman" w:cs="Times New Roman"/>
        </w:rPr>
      </w:pPr>
    </w:p>
    <w:p w14:paraId="25CE68F4" w14:textId="698D0C40" w:rsidR="004D4637" w:rsidRPr="008156C9" w:rsidRDefault="004D4637" w:rsidP="004D4637">
      <w:pPr>
        <w:widowControl w:val="0"/>
        <w:autoSpaceDE w:val="0"/>
        <w:autoSpaceDN w:val="0"/>
        <w:adjustRightInd w:val="0"/>
        <w:rPr>
          <w:rFonts w:ascii="Times New Roman" w:hAnsi="Times New Roman" w:cs="Times New Roman"/>
        </w:rPr>
      </w:pPr>
      <w:r w:rsidRPr="008156C9">
        <w:rPr>
          <w:rFonts w:ascii="Times New Roman" w:hAnsi="Times New Roman" w:cs="Times New Roman"/>
        </w:rPr>
        <w:t>Whereas, AB</w:t>
      </w:r>
      <w:r w:rsidR="00F53997">
        <w:rPr>
          <w:rFonts w:ascii="Times New Roman" w:hAnsi="Times New Roman" w:cs="Times New Roman"/>
        </w:rPr>
        <w:t xml:space="preserve"> </w:t>
      </w:r>
      <w:r w:rsidRPr="008156C9">
        <w:rPr>
          <w:rFonts w:ascii="Times New Roman" w:hAnsi="Times New Roman" w:cs="Times New Roman"/>
        </w:rPr>
        <w:t>204 (Medina</w:t>
      </w:r>
      <w:r w:rsidR="005C4083" w:rsidRPr="008156C9">
        <w:rPr>
          <w:rFonts w:ascii="Times New Roman" w:hAnsi="Times New Roman" w:cs="Times New Roman"/>
        </w:rPr>
        <w:t xml:space="preserve">, </w:t>
      </w:r>
      <w:r w:rsidR="00B57CC0" w:rsidRPr="008156C9">
        <w:rPr>
          <w:rFonts w:ascii="Times New Roman" w:hAnsi="Times New Roman" w:cs="Times New Roman"/>
        </w:rPr>
        <w:t xml:space="preserve">January 23, </w:t>
      </w:r>
      <w:r w:rsidR="005C4083" w:rsidRPr="008156C9">
        <w:rPr>
          <w:rFonts w:ascii="Times New Roman" w:hAnsi="Times New Roman" w:cs="Times New Roman"/>
        </w:rPr>
        <w:t>2017</w:t>
      </w:r>
      <w:r w:rsidRPr="008156C9">
        <w:rPr>
          <w:rFonts w:ascii="Times New Roman" w:hAnsi="Times New Roman" w:cs="Times New Roman"/>
        </w:rPr>
        <w:t xml:space="preserve">) seeks to amend California Education Code </w:t>
      </w:r>
      <w:r w:rsidR="005C4083" w:rsidRPr="008156C9">
        <w:rPr>
          <w:rFonts w:ascii="Times New Roman" w:hAnsi="Times New Roman" w:cs="Times New Roman"/>
        </w:rPr>
        <w:t>§</w:t>
      </w:r>
      <w:r w:rsidRPr="008156C9">
        <w:rPr>
          <w:rFonts w:ascii="Times New Roman" w:hAnsi="Times New Roman" w:cs="Times New Roman"/>
        </w:rPr>
        <w:t>76300 that defines the due process considerations when a Board of Governors fee waiver is revoked as:</w:t>
      </w:r>
    </w:p>
    <w:p w14:paraId="7A9D0E96" w14:textId="77777777" w:rsidR="004D4637" w:rsidRPr="008156C9" w:rsidRDefault="004D4637" w:rsidP="004D4637">
      <w:pPr>
        <w:widowControl w:val="0"/>
        <w:autoSpaceDE w:val="0"/>
        <w:autoSpaceDN w:val="0"/>
        <w:adjustRightInd w:val="0"/>
        <w:ind w:left="720"/>
        <w:rPr>
          <w:rFonts w:ascii="Times New Roman" w:hAnsi="Times New Roman" w:cs="Times New Roman"/>
          <w:i/>
          <w:iCs/>
          <w:color w:val="000000" w:themeColor="text1"/>
        </w:rPr>
      </w:pPr>
      <w:r w:rsidRPr="008156C9">
        <w:rPr>
          <w:rFonts w:ascii="Times New Roman" w:hAnsi="Times New Roman" w:cs="Times New Roman"/>
          <w:i/>
          <w:iCs/>
          <w:color w:val="000000" w:themeColor="text1"/>
        </w:rPr>
        <w:t>(C) To ensure that students are not unfairly impacted by the requirements of subparagraph (A) of paragraph (1):</w:t>
      </w:r>
    </w:p>
    <w:p w14:paraId="7645884D" w14:textId="77777777" w:rsidR="004D4637" w:rsidRPr="008156C9" w:rsidRDefault="004D4637" w:rsidP="004D4637">
      <w:pPr>
        <w:widowControl w:val="0"/>
        <w:autoSpaceDE w:val="0"/>
        <w:autoSpaceDN w:val="0"/>
        <w:adjustRightInd w:val="0"/>
        <w:ind w:left="720"/>
        <w:rPr>
          <w:rFonts w:ascii="Times New Roman" w:hAnsi="Times New Roman" w:cs="Times New Roman"/>
          <w:i/>
          <w:iCs/>
          <w:color w:val="000000" w:themeColor="text1"/>
        </w:rPr>
      </w:pPr>
      <w:r w:rsidRPr="008156C9">
        <w:rPr>
          <w:rFonts w:ascii="Times New Roman" w:hAnsi="Times New Roman" w:cs="Times New Roman"/>
          <w:i/>
          <w:iCs/>
          <w:color w:val="000000" w:themeColor="text1"/>
        </w:rPr>
        <w:t>(</w:t>
      </w:r>
      <w:proofErr w:type="spellStart"/>
      <w:r w:rsidRPr="008156C9">
        <w:rPr>
          <w:rFonts w:ascii="Times New Roman" w:hAnsi="Times New Roman" w:cs="Times New Roman"/>
          <w:i/>
          <w:iCs/>
          <w:color w:val="000000" w:themeColor="text1"/>
        </w:rPr>
        <w:t>i</w:t>
      </w:r>
      <w:proofErr w:type="spellEnd"/>
      <w:r w:rsidRPr="008156C9">
        <w:rPr>
          <w:rFonts w:ascii="Times New Roman" w:hAnsi="Times New Roman" w:cs="Times New Roman"/>
          <w:i/>
          <w:iCs/>
          <w:color w:val="000000" w:themeColor="text1"/>
        </w:rPr>
        <w:t>) At least once every three years, the board of governors shall review and approve any due process standards adopted to appeal the loss of a fee waiver under this section.</w:t>
      </w:r>
    </w:p>
    <w:p w14:paraId="648ADCE5" w14:textId="77777777" w:rsidR="004D4637" w:rsidRPr="008156C9" w:rsidRDefault="004D4637" w:rsidP="004D4637">
      <w:pPr>
        <w:widowControl w:val="0"/>
        <w:autoSpaceDE w:val="0"/>
        <w:autoSpaceDN w:val="0"/>
        <w:adjustRightInd w:val="0"/>
        <w:ind w:left="720"/>
        <w:rPr>
          <w:rFonts w:ascii="Times New Roman" w:hAnsi="Times New Roman" w:cs="Times New Roman"/>
          <w:i/>
          <w:iCs/>
          <w:color w:val="000000" w:themeColor="text1"/>
        </w:rPr>
      </w:pPr>
      <w:r w:rsidRPr="008156C9">
        <w:rPr>
          <w:rFonts w:ascii="Times New Roman" w:hAnsi="Times New Roman" w:cs="Times New Roman"/>
          <w:i/>
          <w:iCs/>
          <w:color w:val="000000" w:themeColor="text1"/>
        </w:rPr>
        <w:t>(ii) At least once every three years, each community college district shall examine the impact of the requirements of subparagraph (A) of paragraph (1) and determine whether they have had a disproportionate impact on a specific class of students. If a disproportionate effect is found, the community college district shall include steps to address that impact in a student equity plan.</w:t>
      </w:r>
    </w:p>
    <w:p w14:paraId="3E491ED3" w14:textId="77777777" w:rsidR="004D4637" w:rsidRPr="008156C9" w:rsidRDefault="004D4637" w:rsidP="004D4637">
      <w:pPr>
        <w:widowControl w:val="0"/>
        <w:autoSpaceDE w:val="0"/>
        <w:autoSpaceDN w:val="0"/>
        <w:adjustRightInd w:val="0"/>
        <w:ind w:left="720"/>
        <w:rPr>
          <w:rFonts w:ascii="Times New Roman" w:hAnsi="Times New Roman" w:cs="Times New Roman"/>
          <w:color w:val="000000" w:themeColor="text1"/>
        </w:rPr>
      </w:pPr>
      <w:r w:rsidRPr="008156C9">
        <w:rPr>
          <w:rFonts w:ascii="Times New Roman" w:hAnsi="Times New Roman" w:cs="Times New Roman"/>
          <w:i/>
          <w:iCs/>
          <w:color w:val="000000" w:themeColor="text1"/>
        </w:rPr>
        <w:t>(iii) If the board of governors adopt any due process standards to appeal the loss of a fee waiver under this section, those standards shall also require a community college district to allow for an appeal due to hardship based on geographic distance from an alternative community college at which the student would be eligible for a fee waiver,</w:t>
      </w:r>
    </w:p>
    <w:p w14:paraId="16305222" w14:textId="77777777" w:rsidR="004D4637" w:rsidRPr="008156C9" w:rsidRDefault="004D4637" w:rsidP="004D4637">
      <w:pPr>
        <w:widowControl w:val="0"/>
        <w:autoSpaceDE w:val="0"/>
        <w:autoSpaceDN w:val="0"/>
        <w:adjustRightInd w:val="0"/>
        <w:rPr>
          <w:rFonts w:ascii="Times New Roman" w:hAnsi="Times New Roman" w:cs="Times New Roman"/>
        </w:rPr>
      </w:pPr>
    </w:p>
    <w:p w14:paraId="56CB8EC8" w14:textId="08BD8467" w:rsidR="004D4637" w:rsidRPr="008156C9" w:rsidRDefault="004D4637" w:rsidP="004D4637">
      <w:pPr>
        <w:widowControl w:val="0"/>
        <w:autoSpaceDE w:val="0"/>
        <w:autoSpaceDN w:val="0"/>
        <w:adjustRightInd w:val="0"/>
        <w:rPr>
          <w:rFonts w:ascii="Times New Roman" w:hAnsi="Times New Roman" w:cs="Times New Roman"/>
        </w:rPr>
      </w:pPr>
      <w:r w:rsidRPr="008156C9">
        <w:rPr>
          <w:rFonts w:ascii="Times New Roman" w:hAnsi="Times New Roman" w:cs="Times New Roman"/>
        </w:rPr>
        <w:t>Resolved, That the Academic Senate for California Community Colleges support AB</w:t>
      </w:r>
      <w:r w:rsidR="00F53997">
        <w:rPr>
          <w:rFonts w:ascii="Times New Roman" w:hAnsi="Times New Roman" w:cs="Times New Roman"/>
        </w:rPr>
        <w:t xml:space="preserve"> </w:t>
      </w:r>
      <w:r w:rsidRPr="008156C9">
        <w:rPr>
          <w:rFonts w:ascii="Times New Roman" w:hAnsi="Times New Roman" w:cs="Times New Roman"/>
        </w:rPr>
        <w:t>204 (Medina</w:t>
      </w:r>
      <w:r w:rsidR="005C4083" w:rsidRPr="008156C9">
        <w:rPr>
          <w:rFonts w:ascii="Times New Roman" w:hAnsi="Times New Roman" w:cs="Times New Roman"/>
        </w:rPr>
        <w:t xml:space="preserve">, </w:t>
      </w:r>
      <w:r w:rsidR="00B57CC0" w:rsidRPr="008156C9">
        <w:rPr>
          <w:rFonts w:ascii="Times New Roman" w:hAnsi="Times New Roman" w:cs="Times New Roman"/>
        </w:rPr>
        <w:t xml:space="preserve">January 23, </w:t>
      </w:r>
      <w:r w:rsidR="005C4083" w:rsidRPr="008156C9">
        <w:rPr>
          <w:rFonts w:ascii="Times New Roman" w:hAnsi="Times New Roman" w:cs="Times New Roman"/>
        </w:rPr>
        <w:t>2017</w:t>
      </w:r>
      <w:r w:rsidRPr="008156C9">
        <w:rPr>
          <w:rFonts w:ascii="Times New Roman" w:hAnsi="Times New Roman" w:cs="Times New Roman"/>
        </w:rPr>
        <w:t xml:space="preserve">) and communicate that support to the legislature and </w:t>
      </w:r>
      <w:r w:rsidR="005C4083" w:rsidRPr="008156C9">
        <w:rPr>
          <w:rFonts w:ascii="Times New Roman" w:hAnsi="Times New Roman" w:cs="Times New Roman"/>
        </w:rPr>
        <w:t xml:space="preserve">other constituents </w:t>
      </w:r>
      <w:r w:rsidRPr="008156C9">
        <w:rPr>
          <w:rFonts w:ascii="Times New Roman" w:hAnsi="Times New Roman" w:cs="Times New Roman"/>
        </w:rPr>
        <w:t xml:space="preserve">as appropriate.  </w:t>
      </w:r>
    </w:p>
    <w:p w14:paraId="5A3183D8" w14:textId="77777777" w:rsidR="004D4637" w:rsidRPr="008156C9" w:rsidRDefault="004D4637" w:rsidP="004D4637">
      <w:pPr>
        <w:widowControl w:val="0"/>
        <w:autoSpaceDE w:val="0"/>
        <w:autoSpaceDN w:val="0"/>
        <w:adjustRightInd w:val="0"/>
        <w:rPr>
          <w:rFonts w:ascii="Times New Roman" w:hAnsi="Times New Roman" w:cs="Times New Roman"/>
        </w:rPr>
      </w:pPr>
      <w:r w:rsidRPr="008156C9">
        <w:rPr>
          <w:rFonts w:ascii="Times New Roman" w:hAnsi="Times New Roman" w:cs="Times New Roman"/>
        </w:rPr>
        <w:t> </w:t>
      </w:r>
    </w:p>
    <w:p w14:paraId="42EC3C84" w14:textId="53B06646" w:rsidR="004D4637" w:rsidRPr="008156C9" w:rsidRDefault="004D4637" w:rsidP="00830E50">
      <w:pPr>
        <w:widowControl w:val="0"/>
        <w:autoSpaceDE w:val="0"/>
        <w:autoSpaceDN w:val="0"/>
        <w:adjustRightInd w:val="0"/>
        <w:rPr>
          <w:rFonts w:ascii="Times New Roman" w:hAnsi="Times New Roman" w:cs="Times New Roman"/>
        </w:rPr>
      </w:pPr>
      <w:r w:rsidRPr="008156C9">
        <w:rPr>
          <w:rFonts w:ascii="Times New Roman" w:hAnsi="Times New Roman" w:cs="Times New Roman"/>
        </w:rPr>
        <w:t>Contact:  Wendy Brill-</w:t>
      </w:r>
      <w:proofErr w:type="spellStart"/>
      <w:r w:rsidRPr="008156C9">
        <w:rPr>
          <w:rFonts w:ascii="Times New Roman" w:hAnsi="Times New Roman" w:cs="Times New Roman"/>
        </w:rPr>
        <w:t>Wynkoop</w:t>
      </w:r>
      <w:proofErr w:type="spellEnd"/>
      <w:r w:rsidRPr="008156C9">
        <w:rPr>
          <w:rFonts w:ascii="Times New Roman" w:hAnsi="Times New Roman" w:cs="Times New Roman"/>
        </w:rPr>
        <w:t>, ASCCC Legislative and Advocacy Committee</w:t>
      </w:r>
    </w:p>
    <w:p w14:paraId="647A5AE6" w14:textId="77777777" w:rsidR="00A8713A" w:rsidRPr="008156C9" w:rsidRDefault="00A8713A" w:rsidP="00C25C90">
      <w:pPr>
        <w:rPr>
          <w:rFonts w:ascii="Times New Roman" w:hAnsi="Times New Roman" w:cs="Times New Roman"/>
        </w:rPr>
      </w:pPr>
    </w:p>
    <w:p w14:paraId="4ED8EBDC" w14:textId="77777777" w:rsidR="003222E9" w:rsidRPr="008156C9" w:rsidRDefault="003222E9" w:rsidP="003222E9">
      <w:pPr>
        <w:pStyle w:val="Heading1"/>
      </w:pPr>
      <w:bookmarkStart w:id="10" w:name="_Toc476514180"/>
      <w:r w:rsidRPr="008156C9">
        <w:t>7.0</w:t>
      </w:r>
      <w:r w:rsidRPr="008156C9">
        <w:tab/>
        <w:t>CONSULTATION WITH THE CHANCELLOR’S OFFICE</w:t>
      </w:r>
      <w:bookmarkEnd w:id="10"/>
    </w:p>
    <w:p w14:paraId="72DD4570" w14:textId="5E61A422" w:rsidR="003222E9" w:rsidRPr="008156C9" w:rsidRDefault="00C571A1" w:rsidP="003222E9">
      <w:pPr>
        <w:pStyle w:val="Heading2"/>
      </w:pPr>
      <w:bookmarkStart w:id="11" w:name="_Toc476514181"/>
      <w:r w:rsidRPr="008156C9">
        <w:t>*</w:t>
      </w:r>
      <w:r w:rsidR="003222E9" w:rsidRPr="008156C9">
        <w:t>7.01</w:t>
      </w:r>
      <w:r w:rsidR="0028795F" w:rsidRPr="008156C9">
        <w:tab/>
        <w:t>S17</w:t>
      </w:r>
      <w:r w:rsidR="0028795F" w:rsidRPr="008156C9">
        <w:tab/>
      </w:r>
      <w:r w:rsidR="003222E9" w:rsidRPr="008156C9">
        <w:t>Improve the Basic Skills Funding Formula</w:t>
      </w:r>
      <w:bookmarkEnd w:id="11"/>
    </w:p>
    <w:p w14:paraId="2DBDD6D2" w14:textId="77777777" w:rsidR="003222E9" w:rsidRPr="008156C9" w:rsidRDefault="003222E9" w:rsidP="003222E9">
      <w:pPr>
        <w:rPr>
          <w:rFonts w:ascii="Times New Roman" w:hAnsi="Times New Roman" w:cs="Times New Roman"/>
        </w:rPr>
      </w:pPr>
    </w:p>
    <w:p w14:paraId="66E6F6F3" w14:textId="790831E4" w:rsidR="003222E9" w:rsidRPr="008156C9" w:rsidRDefault="00830E50" w:rsidP="003222E9">
      <w:pPr>
        <w:rPr>
          <w:rFonts w:ascii="Times New Roman" w:hAnsi="Times New Roman" w:cs="Times New Roman"/>
        </w:rPr>
      </w:pPr>
      <w:r w:rsidRPr="008156C9">
        <w:rPr>
          <w:rFonts w:ascii="Times New Roman" w:hAnsi="Times New Roman" w:cs="Times New Roman"/>
        </w:rPr>
        <w:t xml:space="preserve">Whereas, </w:t>
      </w:r>
      <w:r w:rsidR="003222E9" w:rsidRPr="008156C9">
        <w:rPr>
          <w:rFonts w:ascii="Times New Roman" w:hAnsi="Times New Roman" w:cs="Times New Roman"/>
        </w:rPr>
        <w:t xml:space="preserve">Assembly Budget Bill 1602 (2016, Committee on </w:t>
      </w:r>
      <w:r w:rsidRPr="008156C9">
        <w:rPr>
          <w:rFonts w:ascii="Times New Roman" w:hAnsi="Times New Roman" w:cs="Times New Roman"/>
        </w:rPr>
        <w:t>Budget</w:t>
      </w:r>
      <w:r w:rsidR="003222E9" w:rsidRPr="008156C9">
        <w:rPr>
          <w:rFonts w:ascii="Times New Roman" w:hAnsi="Times New Roman" w:cs="Times New Roman"/>
        </w:rPr>
        <w:t>) established the Student Success for Basic Skills Program, which establishes new basic skills funding formulas, replacing those in place for the Basic Skills Initiative;</w:t>
      </w:r>
    </w:p>
    <w:p w14:paraId="459CBF1D" w14:textId="77777777" w:rsidR="003222E9" w:rsidRPr="008156C9" w:rsidRDefault="003222E9" w:rsidP="003222E9">
      <w:pPr>
        <w:rPr>
          <w:rFonts w:ascii="Times New Roman" w:hAnsi="Times New Roman" w:cs="Times New Roman"/>
        </w:rPr>
      </w:pPr>
    </w:p>
    <w:p w14:paraId="295C9886" w14:textId="52ACF931" w:rsidR="003222E9" w:rsidRPr="008156C9" w:rsidRDefault="003222E9" w:rsidP="003222E9">
      <w:pPr>
        <w:rPr>
          <w:rFonts w:ascii="Times New Roman" w:hAnsi="Times New Roman" w:cs="Times New Roman"/>
        </w:rPr>
      </w:pPr>
      <w:r w:rsidRPr="008156C9">
        <w:rPr>
          <w:rFonts w:ascii="Times New Roman" w:hAnsi="Times New Roman" w:cs="Times New Roman"/>
        </w:rPr>
        <w:t xml:space="preserve">Whereas, The basic skills funding formula legislated by AB 1602 (2016, </w:t>
      </w:r>
      <w:r w:rsidR="00830E50" w:rsidRPr="008156C9">
        <w:rPr>
          <w:rFonts w:ascii="Times New Roman" w:hAnsi="Times New Roman" w:cs="Times New Roman"/>
        </w:rPr>
        <w:t>Committee on Budget</w:t>
      </w:r>
      <w:r w:rsidRPr="008156C9">
        <w:rPr>
          <w:rFonts w:ascii="Times New Roman" w:hAnsi="Times New Roman" w:cs="Times New Roman"/>
        </w:rPr>
        <w:t>) includes the following weighted factors:</w:t>
      </w:r>
    </w:p>
    <w:p w14:paraId="6054101D" w14:textId="77777777" w:rsidR="003222E9" w:rsidRPr="008156C9" w:rsidRDefault="003222E9" w:rsidP="003222E9">
      <w:pPr>
        <w:pStyle w:val="ListParagraph"/>
        <w:numPr>
          <w:ilvl w:val="0"/>
          <w:numId w:val="1"/>
        </w:numPr>
        <w:rPr>
          <w:rFonts w:ascii="Times New Roman" w:hAnsi="Times New Roman" w:cs="Times New Roman"/>
        </w:rPr>
      </w:pPr>
      <w:r w:rsidRPr="008156C9">
        <w:rPr>
          <w:rFonts w:ascii="Times New Roman" w:hAnsi="Times New Roman" w:cs="Times New Roman"/>
        </w:rPr>
        <w:t>“The percentage of students receiving a Board of Governors fee waiver who first enrolled in a course below transfer level in English, mathematics, or English as a second language, or any combination of these, and subsequently completed a college-level course in the same subject within one year and within two years. This factor shall comprise 50 percent of the allocation formula.</w:t>
      </w:r>
    </w:p>
    <w:p w14:paraId="13FB14A9" w14:textId="77777777" w:rsidR="003222E9" w:rsidRPr="008156C9" w:rsidRDefault="003222E9" w:rsidP="003222E9">
      <w:pPr>
        <w:pStyle w:val="ListParagraph"/>
        <w:numPr>
          <w:ilvl w:val="0"/>
          <w:numId w:val="1"/>
        </w:numPr>
        <w:rPr>
          <w:rFonts w:ascii="Times New Roman" w:hAnsi="Times New Roman" w:cs="Times New Roman"/>
        </w:rPr>
      </w:pPr>
      <w:r w:rsidRPr="008156C9">
        <w:rPr>
          <w:rFonts w:ascii="Times New Roman" w:hAnsi="Times New Roman" w:cs="Times New Roman"/>
        </w:rPr>
        <w:t>The percentage of students receiving a Board of Governors fee waiver. This factor shall comprise 25 percent of the formula.</w:t>
      </w:r>
    </w:p>
    <w:p w14:paraId="22544EFE" w14:textId="77777777" w:rsidR="003222E9" w:rsidRPr="008156C9" w:rsidRDefault="003222E9" w:rsidP="003222E9">
      <w:pPr>
        <w:pStyle w:val="ListParagraph"/>
        <w:numPr>
          <w:ilvl w:val="0"/>
          <w:numId w:val="1"/>
        </w:numPr>
        <w:rPr>
          <w:rFonts w:ascii="Times New Roman" w:hAnsi="Times New Roman" w:cs="Times New Roman"/>
        </w:rPr>
      </w:pPr>
      <w:r w:rsidRPr="008156C9">
        <w:rPr>
          <w:rFonts w:ascii="Times New Roman" w:hAnsi="Times New Roman" w:cs="Times New Roman"/>
        </w:rPr>
        <w:t>The percentage of basic skills full-time equivalent students in courses offered by that community college district using evidence-based practices and principles [as specified]. This factor shall comprise 25 percent of the formula”;</w:t>
      </w:r>
    </w:p>
    <w:p w14:paraId="17673793" w14:textId="77777777" w:rsidR="003222E9" w:rsidRPr="008156C9" w:rsidRDefault="003222E9" w:rsidP="003222E9">
      <w:pPr>
        <w:pStyle w:val="ListParagraph"/>
        <w:ind w:left="1080"/>
        <w:rPr>
          <w:rFonts w:ascii="Times New Roman" w:hAnsi="Times New Roman" w:cs="Times New Roman"/>
        </w:rPr>
      </w:pPr>
    </w:p>
    <w:p w14:paraId="6DCBB8F3" w14:textId="424EDB33" w:rsidR="003222E9" w:rsidRPr="008156C9" w:rsidRDefault="003222E9" w:rsidP="003222E9">
      <w:pPr>
        <w:pStyle w:val="ListParagraph"/>
        <w:ind w:left="0"/>
        <w:rPr>
          <w:rFonts w:ascii="Times New Roman" w:hAnsi="Times New Roman" w:cs="Times New Roman"/>
        </w:rPr>
      </w:pPr>
      <w:r w:rsidRPr="008156C9">
        <w:rPr>
          <w:rFonts w:ascii="Times New Roman" w:hAnsi="Times New Roman" w:cs="Times New Roman"/>
        </w:rPr>
        <w:t>Whereas, The legislated funding formula excludes the ability of a college to count noncredit students because noncredit students, generating 38% of system FTES in basic skills</w:t>
      </w:r>
      <w:r w:rsidRPr="008156C9">
        <w:rPr>
          <w:rStyle w:val="FootnoteReference"/>
          <w:rFonts w:ascii="Times New Roman" w:hAnsi="Times New Roman" w:cs="Times New Roman"/>
        </w:rPr>
        <w:footnoteReference w:id="6"/>
      </w:r>
      <w:r w:rsidRPr="008156C9">
        <w:rPr>
          <w:rFonts w:ascii="Times New Roman" w:hAnsi="Times New Roman" w:cs="Times New Roman"/>
        </w:rPr>
        <w:t xml:space="preserve"> between 2013-2016, do not apply for financial aid, therefore not determining eligibility for receipt of Board of Governors fee waivers;</w:t>
      </w:r>
      <w:r w:rsidR="00F53997">
        <w:rPr>
          <w:rFonts w:ascii="Times New Roman" w:hAnsi="Times New Roman" w:cs="Times New Roman"/>
        </w:rPr>
        <w:t xml:space="preserve"> and </w:t>
      </w:r>
    </w:p>
    <w:p w14:paraId="3B83251C" w14:textId="77777777" w:rsidR="003222E9" w:rsidRPr="008156C9" w:rsidRDefault="003222E9" w:rsidP="003222E9">
      <w:pPr>
        <w:pStyle w:val="ListParagraph"/>
        <w:ind w:left="0"/>
        <w:rPr>
          <w:rFonts w:ascii="Times New Roman" w:hAnsi="Times New Roman" w:cs="Times New Roman"/>
        </w:rPr>
      </w:pPr>
    </w:p>
    <w:p w14:paraId="31336D21" w14:textId="77777777" w:rsidR="003222E9" w:rsidRPr="008156C9" w:rsidRDefault="003222E9" w:rsidP="003222E9">
      <w:pPr>
        <w:pStyle w:val="ListParagraph"/>
        <w:ind w:left="0"/>
        <w:rPr>
          <w:rFonts w:ascii="Times New Roman" w:hAnsi="Times New Roman" w:cs="Times New Roman"/>
        </w:rPr>
      </w:pPr>
      <w:r w:rsidRPr="008156C9">
        <w:rPr>
          <w:rFonts w:ascii="Times New Roman" w:hAnsi="Times New Roman" w:cs="Times New Roman"/>
        </w:rPr>
        <w:t>Whereas, The formula also excludes many noncredit and credit basic skills students who may be seeking literacy skills rather than pre-collegiate skills, therefore not completing a college-level course in the same subject within one year and within two years, and the formula necessitates a measurement of courses utilizing evidence-based practices, something that likely varies between sections of the same course, and that is not currently measured; and</w:t>
      </w:r>
    </w:p>
    <w:p w14:paraId="1CEE492E" w14:textId="77777777" w:rsidR="003222E9" w:rsidRPr="008156C9" w:rsidRDefault="003222E9" w:rsidP="003222E9">
      <w:pPr>
        <w:pStyle w:val="ListParagraph"/>
        <w:ind w:left="0"/>
        <w:rPr>
          <w:rFonts w:ascii="Times New Roman" w:hAnsi="Times New Roman" w:cs="Times New Roman"/>
        </w:rPr>
      </w:pPr>
    </w:p>
    <w:p w14:paraId="7C7A3A68" w14:textId="77777777" w:rsidR="003222E9" w:rsidRPr="008156C9" w:rsidRDefault="003222E9" w:rsidP="003222E9">
      <w:pPr>
        <w:pStyle w:val="ListParagraph"/>
        <w:ind w:left="0"/>
        <w:rPr>
          <w:rFonts w:ascii="Times New Roman" w:hAnsi="Times New Roman" w:cs="Times New Roman"/>
        </w:rPr>
      </w:pPr>
      <w:r w:rsidRPr="008156C9">
        <w:rPr>
          <w:rFonts w:ascii="Times New Roman" w:hAnsi="Times New Roman" w:cs="Times New Roman"/>
        </w:rPr>
        <w:t>Resolved, That the Academic Senate for California Community Colleges work with the Chancellor’s Office to propose an alternate funding formula that includes college efforts to improve basic skills in students through noncredit courses and for student goals different than college degree attainment and transfer.</w:t>
      </w:r>
    </w:p>
    <w:p w14:paraId="781F99AB" w14:textId="77777777" w:rsidR="003222E9" w:rsidRPr="008156C9" w:rsidRDefault="003222E9" w:rsidP="003222E9">
      <w:pPr>
        <w:pStyle w:val="ListParagraph"/>
        <w:ind w:left="0"/>
        <w:rPr>
          <w:rFonts w:ascii="Times New Roman" w:hAnsi="Times New Roman" w:cs="Times New Roman"/>
        </w:rPr>
      </w:pPr>
    </w:p>
    <w:p w14:paraId="6F5738EB" w14:textId="1B653CBA" w:rsidR="003222E9" w:rsidRPr="008156C9" w:rsidRDefault="003222E9" w:rsidP="003222E9">
      <w:pPr>
        <w:pStyle w:val="ListParagraph"/>
        <w:ind w:left="0"/>
        <w:rPr>
          <w:rFonts w:ascii="Times New Roman" w:hAnsi="Times New Roman" w:cs="Times New Roman"/>
        </w:rPr>
      </w:pPr>
      <w:r w:rsidRPr="008156C9">
        <w:rPr>
          <w:rFonts w:ascii="Times New Roman" w:hAnsi="Times New Roman" w:cs="Times New Roman"/>
        </w:rPr>
        <w:t xml:space="preserve">Contact: Cheryl Aschenbach, </w:t>
      </w:r>
      <w:r w:rsidR="00645BEC" w:rsidRPr="008156C9">
        <w:rPr>
          <w:rFonts w:ascii="Times New Roman" w:hAnsi="Times New Roman" w:cs="Times New Roman"/>
        </w:rPr>
        <w:t>Executive</w:t>
      </w:r>
      <w:r w:rsidRPr="008156C9">
        <w:rPr>
          <w:rFonts w:ascii="Times New Roman" w:hAnsi="Times New Roman" w:cs="Times New Roman"/>
        </w:rPr>
        <w:t xml:space="preserve"> Committee</w:t>
      </w:r>
    </w:p>
    <w:p w14:paraId="7E22DD37" w14:textId="77777777" w:rsidR="0028795F" w:rsidRPr="008156C9" w:rsidRDefault="0028795F" w:rsidP="003222E9">
      <w:pPr>
        <w:pStyle w:val="ListParagraph"/>
        <w:ind w:left="0"/>
        <w:rPr>
          <w:rFonts w:ascii="Times New Roman" w:hAnsi="Times New Roman" w:cs="Times New Roman"/>
        </w:rPr>
      </w:pPr>
    </w:p>
    <w:p w14:paraId="439BDB68" w14:textId="38AABEAD" w:rsidR="0028795F" w:rsidRPr="008156C9" w:rsidRDefault="00C571A1" w:rsidP="0028795F">
      <w:pPr>
        <w:pStyle w:val="Heading2"/>
      </w:pPr>
      <w:bookmarkStart w:id="12" w:name="_Toc476514182"/>
      <w:r w:rsidRPr="008156C9">
        <w:t>*</w:t>
      </w:r>
      <w:r w:rsidR="0028795F" w:rsidRPr="008156C9">
        <w:t>7.02</w:t>
      </w:r>
      <w:r w:rsidR="0028795F" w:rsidRPr="008156C9">
        <w:tab/>
        <w:t>S17</w:t>
      </w:r>
      <w:r w:rsidR="0028795F" w:rsidRPr="008156C9">
        <w:tab/>
      </w:r>
      <w:r w:rsidR="001C2E7C" w:rsidRPr="008156C9">
        <w:t xml:space="preserve">Online </w:t>
      </w:r>
      <w:r w:rsidR="003C62A3" w:rsidRPr="008156C9">
        <w:t>Training</w:t>
      </w:r>
      <w:r w:rsidR="0028795F" w:rsidRPr="008156C9">
        <w:t xml:space="preserve"> </w:t>
      </w:r>
      <w:r w:rsidR="001C2E7C" w:rsidRPr="008156C9">
        <w:t xml:space="preserve">for College Staff </w:t>
      </w:r>
      <w:r w:rsidR="003C62A3" w:rsidRPr="008156C9">
        <w:t>to Support</w:t>
      </w:r>
      <w:r w:rsidR="0028795F" w:rsidRPr="008156C9">
        <w:t xml:space="preserve"> Formerly Incarcerated </w:t>
      </w:r>
      <w:r w:rsidR="00F53997">
        <w:tab/>
      </w:r>
      <w:r w:rsidR="00F53997">
        <w:tab/>
      </w:r>
      <w:r w:rsidR="00F53997">
        <w:tab/>
      </w:r>
      <w:r w:rsidR="00F53997">
        <w:tab/>
      </w:r>
      <w:r w:rsidR="0028795F" w:rsidRPr="008156C9">
        <w:t>Students</w:t>
      </w:r>
      <w:bookmarkEnd w:id="12"/>
      <w:r w:rsidR="0028795F" w:rsidRPr="008156C9">
        <w:t xml:space="preserve"> </w:t>
      </w:r>
    </w:p>
    <w:p w14:paraId="0961CE1D" w14:textId="77777777" w:rsidR="00F53997" w:rsidRDefault="00F53997" w:rsidP="0028795F">
      <w:pPr>
        <w:rPr>
          <w:rFonts w:ascii="Times New Roman" w:hAnsi="Times New Roman" w:cs="Times New Roman"/>
        </w:rPr>
      </w:pPr>
    </w:p>
    <w:p w14:paraId="4D3CF926" w14:textId="60743112" w:rsidR="0028795F" w:rsidRPr="008156C9" w:rsidRDefault="0028795F" w:rsidP="0028795F">
      <w:pPr>
        <w:rPr>
          <w:rFonts w:ascii="Times New Roman" w:hAnsi="Times New Roman" w:cs="Times New Roman"/>
        </w:rPr>
      </w:pPr>
      <w:r w:rsidRPr="008156C9">
        <w:rPr>
          <w:rFonts w:ascii="Times New Roman" w:hAnsi="Times New Roman" w:cs="Times New Roman"/>
        </w:rPr>
        <w:t>Whereas, The Student Mental Health Program, a partnership between the California Community Colleges’ Chancellor's Office and the Foundation for California Community Colleges, offers online training courses</w:t>
      </w:r>
      <w:r w:rsidR="003C62A3" w:rsidRPr="008156C9">
        <w:rPr>
          <w:rFonts w:ascii="Times New Roman" w:hAnsi="Times New Roman" w:cs="Times New Roman"/>
        </w:rPr>
        <w:t xml:space="preserve"> that simulate interactions between students and staff</w:t>
      </w:r>
      <w:r w:rsidRPr="008156C9">
        <w:rPr>
          <w:rFonts w:ascii="Times New Roman" w:hAnsi="Times New Roman" w:cs="Times New Roman"/>
        </w:rPr>
        <w:t xml:space="preserve"> for any community college employee or student that simulate encounters with students in real life situations in order to improve the mental health outcomes for individuals, families and communities; </w:t>
      </w:r>
    </w:p>
    <w:p w14:paraId="17FFC01A" w14:textId="77777777" w:rsidR="00893DDD" w:rsidRPr="008156C9" w:rsidRDefault="00893DDD" w:rsidP="0028795F">
      <w:pPr>
        <w:rPr>
          <w:rFonts w:ascii="Times New Roman" w:hAnsi="Times New Roman" w:cs="Times New Roman"/>
        </w:rPr>
      </w:pPr>
    </w:p>
    <w:p w14:paraId="2440A8B3" w14:textId="437A3949" w:rsidR="0028795F" w:rsidRPr="008156C9" w:rsidRDefault="0028795F" w:rsidP="0028795F">
      <w:pPr>
        <w:rPr>
          <w:rFonts w:ascii="Times New Roman" w:hAnsi="Times New Roman" w:cs="Times New Roman"/>
        </w:rPr>
      </w:pPr>
      <w:r w:rsidRPr="008156C9">
        <w:rPr>
          <w:rFonts w:ascii="Times New Roman" w:hAnsi="Times New Roman" w:cs="Times New Roman"/>
        </w:rPr>
        <w:t>Whereas, The online training courses currently available to community college employees and students consist of modules that simulate encounters with veterans, LGBTQ</w:t>
      </w:r>
      <w:r w:rsidR="003C62A3" w:rsidRPr="008156C9">
        <w:rPr>
          <w:rFonts w:ascii="Times New Roman" w:hAnsi="Times New Roman" w:cs="Times New Roman"/>
        </w:rPr>
        <w:t>IA+</w:t>
      </w:r>
      <w:r w:rsidRPr="008156C9">
        <w:rPr>
          <w:rFonts w:ascii="Times New Roman" w:hAnsi="Times New Roman" w:cs="Times New Roman"/>
        </w:rPr>
        <w:t xml:space="preserve"> students, and students broadly identified as “At Risk”, but do not provide simulations specifically designed to work with formerly incarcerated students; and </w:t>
      </w:r>
    </w:p>
    <w:p w14:paraId="5F948DE7" w14:textId="77777777" w:rsidR="0028795F" w:rsidRPr="008156C9" w:rsidRDefault="0028795F" w:rsidP="0028795F">
      <w:pPr>
        <w:rPr>
          <w:rFonts w:ascii="Times New Roman" w:hAnsi="Times New Roman" w:cs="Times New Roman"/>
        </w:rPr>
      </w:pPr>
    </w:p>
    <w:p w14:paraId="6114BD91" w14:textId="77777777" w:rsidR="0028795F" w:rsidRPr="008156C9" w:rsidRDefault="0028795F" w:rsidP="0028795F">
      <w:pPr>
        <w:rPr>
          <w:rFonts w:ascii="Times New Roman" w:hAnsi="Times New Roman" w:cs="Times New Roman"/>
        </w:rPr>
      </w:pPr>
      <w:r w:rsidRPr="008156C9">
        <w:rPr>
          <w:rFonts w:ascii="Times New Roman" w:hAnsi="Times New Roman" w:cs="Times New Roman"/>
        </w:rPr>
        <w:t>Whereas, Formerly incarcerated students face serious mental health challenges when re-entering society and attempting to navigate through the California’s community colleges;</w:t>
      </w:r>
    </w:p>
    <w:p w14:paraId="73B95E08" w14:textId="77777777" w:rsidR="0028795F" w:rsidRPr="008156C9" w:rsidRDefault="0028795F" w:rsidP="0028795F">
      <w:pPr>
        <w:rPr>
          <w:rFonts w:ascii="Times New Roman" w:hAnsi="Times New Roman" w:cs="Times New Roman"/>
        </w:rPr>
      </w:pPr>
    </w:p>
    <w:p w14:paraId="29594A80" w14:textId="78F3A93A" w:rsidR="0028795F" w:rsidRPr="008156C9" w:rsidRDefault="0028795F" w:rsidP="0028795F">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urge the Chancellor’s Office and the Foundation for California Community Colleges, mental health providers, and relevant service providers working specifically with formerly incarcerated populations to develop </w:t>
      </w:r>
      <w:r w:rsidR="003C62A3" w:rsidRPr="008156C9">
        <w:rPr>
          <w:rFonts w:ascii="Times New Roman" w:hAnsi="Times New Roman" w:cs="Times New Roman"/>
        </w:rPr>
        <w:t xml:space="preserve">online training courses that simulate interactions between students and staff </w:t>
      </w:r>
      <w:r w:rsidRPr="008156C9">
        <w:rPr>
          <w:rFonts w:ascii="Times New Roman" w:hAnsi="Times New Roman" w:cs="Times New Roman"/>
        </w:rPr>
        <w:t xml:space="preserve">that will help the college community’s ability to be responsive to and supportive of the mental health of formerly incarcerated students and improve their success outcomes. </w:t>
      </w:r>
    </w:p>
    <w:p w14:paraId="618BD20F" w14:textId="77777777" w:rsidR="0028795F" w:rsidRPr="008156C9" w:rsidRDefault="0028795F" w:rsidP="0028795F">
      <w:pPr>
        <w:rPr>
          <w:rFonts w:ascii="Times New Roman" w:hAnsi="Times New Roman" w:cs="Times New Roman"/>
        </w:rPr>
      </w:pPr>
    </w:p>
    <w:p w14:paraId="4C06872E" w14:textId="77777777" w:rsidR="0028795F" w:rsidRPr="008156C9" w:rsidRDefault="0028795F" w:rsidP="0028795F">
      <w:pPr>
        <w:rPr>
          <w:rFonts w:ascii="Times New Roman" w:hAnsi="Times New Roman" w:cs="Times New Roman"/>
        </w:rPr>
      </w:pPr>
      <w:r w:rsidRPr="008156C9">
        <w:rPr>
          <w:rFonts w:ascii="Times New Roman" w:hAnsi="Times New Roman" w:cs="Times New Roman"/>
        </w:rPr>
        <w:t>Contact: Cleavon Smith, Executive Committee</w:t>
      </w:r>
    </w:p>
    <w:p w14:paraId="41008A73" w14:textId="77777777" w:rsidR="003222E9" w:rsidRPr="008156C9" w:rsidRDefault="003222E9" w:rsidP="00C25C90">
      <w:pPr>
        <w:rPr>
          <w:rFonts w:ascii="Times New Roman" w:hAnsi="Times New Roman" w:cs="Times New Roman"/>
        </w:rPr>
      </w:pPr>
    </w:p>
    <w:p w14:paraId="406054E3" w14:textId="77777777" w:rsidR="002E0719" w:rsidRPr="008156C9" w:rsidRDefault="002E0719" w:rsidP="002E0719">
      <w:pPr>
        <w:pStyle w:val="Heading1"/>
      </w:pPr>
      <w:bookmarkStart w:id="13" w:name="_Toc476514183"/>
      <w:r w:rsidRPr="008156C9">
        <w:t xml:space="preserve">9.0 </w:t>
      </w:r>
      <w:r w:rsidRPr="008156C9">
        <w:tab/>
        <w:t>CURRICULUM</w:t>
      </w:r>
      <w:bookmarkEnd w:id="13"/>
    </w:p>
    <w:p w14:paraId="457CBEB9" w14:textId="20B9AEE4" w:rsidR="002E0719" w:rsidRPr="008156C9" w:rsidRDefault="00C571A1" w:rsidP="00BB378D">
      <w:pPr>
        <w:pStyle w:val="Heading2"/>
      </w:pPr>
      <w:bookmarkStart w:id="14" w:name="_Toc476514184"/>
      <w:r w:rsidRPr="008156C9">
        <w:t>*</w:t>
      </w:r>
      <w:r w:rsidR="002E0719" w:rsidRPr="008156C9">
        <w:t>9.0</w:t>
      </w:r>
      <w:r w:rsidR="004D4637" w:rsidRPr="008156C9">
        <w:t>1</w:t>
      </w:r>
      <w:r w:rsidR="002E0719" w:rsidRPr="008156C9">
        <w:tab/>
        <w:t>S17</w:t>
      </w:r>
      <w:r w:rsidR="002E0719" w:rsidRPr="008156C9">
        <w:tab/>
        <w:t xml:space="preserve">Update to the Existing SLO Terminology Glossary and Creation of a Paper </w:t>
      </w:r>
      <w:r w:rsidR="00F53997">
        <w:tab/>
      </w:r>
      <w:r w:rsidR="00F53997">
        <w:tab/>
      </w:r>
      <w:r w:rsidR="00F53997">
        <w:tab/>
      </w:r>
      <w:r w:rsidR="002E0719" w:rsidRPr="008156C9">
        <w:t>on Student Learning Outcomes</w:t>
      </w:r>
      <w:bookmarkEnd w:id="14"/>
    </w:p>
    <w:p w14:paraId="0E773666" w14:textId="77777777" w:rsidR="00F53997" w:rsidRDefault="00F53997" w:rsidP="002E0719">
      <w:pPr>
        <w:rPr>
          <w:rFonts w:ascii="Times New Roman" w:hAnsi="Times New Roman" w:cs="Times New Roman"/>
        </w:rPr>
      </w:pPr>
    </w:p>
    <w:p w14:paraId="5DADA269" w14:textId="72E781FF" w:rsidR="002E0719" w:rsidRPr="008156C9" w:rsidRDefault="002E0719" w:rsidP="002E0719">
      <w:pPr>
        <w:rPr>
          <w:rFonts w:ascii="Times New Roman" w:hAnsi="Times New Roman" w:cs="Times New Roman"/>
        </w:rPr>
      </w:pPr>
      <w:r w:rsidRPr="008156C9">
        <w:rPr>
          <w:rFonts w:ascii="Times New Roman" w:hAnsi="Times New Roman" w:cs="Times New Roman"/>
        </w:rPr>
        <w:t xml:space="preserve">Whereas, The Academic Senate for California Community Colleges(ASCCC) approved at its </w:t>
      </w:r>
      <w:r w:rsidR="005C4083" w:rsidRPr="008156C9">
        <w:rPr>
          <w:rFonts w:ascii="Times New Roman" w:hAnsi="Times New Roman" w:cs="Times New Roman"/>
        </w:rPr>
        <w:t xml:space="preserve">Spring </w:t>
      </w:r>
      <w:r w:rsidRPr="008156C9">
        <w:rPr>
          <w:rFonts w:ascii="Times New Roman" w:hAnsi="Times New Roman" w:cs="Times New Roman"/>
        </w:rPr>
        <w:t xml:space="preserve">2016 plenary session resolution 9.06, which states that the ASCCC should “urge local senates to ensure that institutional decisions regarding student learning outcomes assessment are understood to be a curricular matter and therefore institutions should consult collegially with local senates;” </w:t>
      </w:r>
    </w:p>
    <w:p w14:paraId="693C82DD" w14:textId="77777777" w:rsidR="002E0719" w:rsidRPr="008156C9" w:rsidRDefault="002E0719" w:rsidP="002E0719">
      <w:pPr>
        <w:rPr>
          <w:rFonts w:ascii="Times New Roman" w:hAnsi="Times New Roman" w:cs="Times New Roman"/>
        </w:rPr>
      </w:pPr>
    </w:p>
    <w:p w14:paraId="517547A1" w14:textId="4E6C2A4D" w:rsidR="002E0719" w:rsidRPr="008156C9" w:rsidRDefault="002E0719" w:rsidP="002E0719">
      <w:pPr>
        <w:rPr>
          <w:rFonts w:ascii="Times New Roman" w:hAnsi="Times New Roman" w:cs="Times New Roman"/>
        </w:rPr>
      </w:pPr>
      <w:r w:rsidRPr="008156C9">
        <w:rPr>
          <w:rFonts w:ascii="Times New Roman" w:hAnsi="Times New Roman" w:cs="Times New Roman"/>
        </w:rPr>
        <w:t>Whereas, The development of student learning outcomes (SLOs) is a potentially useful tool for faculty to develop educational programs and course outlines of record, as well as an important part of accreditation requirements, including the requirement that colleges review disaggregated SLO data; and</w:t>
      </w:r>
    </w:p>
    <w:p w14:paraId="1B49C22F" w14:textId="77777777" w:rsidR="002E0719" w:rsidRPr="008156C9" w:rsidRDefault="002E0719" w:rsidP="002E0719">
      <w:pPr>
        <w:rPr>
          <w:rFonts w:ascii="Times New Roman" w:hAnsi="Times New Roman" w:cs="Times New Roman"/>
        </w:rPr>
      </w:pPr>
      <w:r w:rsidRPr="008156C9">
        <w:rPr>
          <w:rFonts w:ascii="Times New Roman" w:hAnsi="Times New Roman" w:cs="Times New Roman"/>
        </w:rPr>
        <w:t> </w:t>
      </w:r>
    </w:p>
    <w:p w14:paraId="77AB3E9E" w14:textId="77777777" w:rsidR="002E0719" w:rsidRPr="008156C9" w:rsidRDefault="002E0719" w:rsidP="002E0719">
      <w:pPr>
        <w:rPr>
          <w:rFonts w:ascii="Times New Roman" w:hAnsi="Times New Roman" w:cs="Times New Roman"/>
        </w:rPr>
      </w:pPr>
      <w:r w:rsidRPr="008156C9">
        <w:rPr>
          <w:rFonts w:ascii="Times New Roman" w:hAnsi="Times New Roman" w:cs="Times New Roman"/>
        </w:rPr>
        <w:t>Whereas, The creation and assessment of SLOs have curricular implications that are not always understood by faculty, lead to confusion and reservations toward collecting and using SLO data, and go beyond the goal of compliance with accreditation standards;</w:t>
      </w:r>
    </w:p>
    <w:p w14:paraId="7F8E206A" w14:textId="77777777" w:rsidR="002E0719" w:rsidRPr="008156C9" w:rsidRDefault="002E0719" w:rsidP="002E0719">
      <w:pPr>
        <w:rPr>
          <w:rFonts w:ascii="Times New Roman" w:hAnsi="Times New Roman" w:cs="Times New Roman"/>
        </w:rPr>
      </w:pPr>
      <w:r w:rsidRPr="008156C9">
        <w:rPr>
          <w:rFonts w:ascii="Times New Roman" w:hAnsi="Times New Roman" w:cs="Times New Roman"/>
        </w:rPr>
        <w:t> </w:t>
      </w:r>
    </w:p>
    <w:p w14:paraId="0A7E8DCE" w14:textId="7F3D2D29" w:rsidR="002E0719" w:rsidRPr="008156C9" w:rsidRDefault="002E0719" w:rsidP="002E0719">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update </w:t>
      </w:r>
      <w:r w:rsidR="005C4083" w:rsidRPr="008156C9">
        <w:rPr>
          <w:rFonts w:ascii="Times New Roman" w:hAnsi="Times New Roman" w:cs="Times New Roman"/>
        </w:rPr>
        <w:t xml:space="preserve">its </w:t>
      </w:r>
      <w:r w:rsidRPr="008156C9">
        <w:rPr>
          <w:rFonts w:ascii="Times New Roman" w:hAnsi="Times New Roman" w:cs="Times New Roman"/>
        </w:rPr>
        <w:t xml:space="preserve">white paper </w:t>
      </w:r>
      <w:r w:rsidRPr="008156C9">
        <w:rPr>
          <w:rFonts w:ascii="Times New Roman" w:hAnsi="Times New Roman" w:cs="Times New Roman"/>
          <w:i/>
        </w:rPr>
        <w:t>SLO Terminology Glossary: A Resource for Local Senates</w:t>
      </w:r>
      <w:r w:rsidRPr="008156C9">
        <w:rPr>
          <w:rFonts w:ascii="Times New Roman" w:hAnsi="Times New Roman" w:cs="Times New Roman"/>
        </w:rPr>
        <w:t xml:space="preserve"> (2009)</w:t>
      </w:r>
      <w:r w:rsidR="00885907" w:rsidRPr="008156C9">
        <w:rPr>
          <w:rStyle w:val="FootnoteReference"/>
          <w:rFonts w:ascii="Times New Roman" w:hAnsi="Times New Roman" w:cs="Times New Roman"/>
        </w:rPr>
        <w:footnoteReference w:id="7"/>
      </w:r>
      <w:r w:rsidRPr="008156C9">
        <w:rPr>
          <w:rFonts w:ascii="Times New Roman" w:hAnsi="Times New Roman" w:cs="Times New Roman"/>
        </w:rPr>
        <w:t xml:space="preserve">; and </w:t>
      </w:r>
    </w:p>
    <w:p w14:paraId="3412BEBA" w14:textId="77777777" w:rsidR="002E0719" w:rsidRPr="008156C9" w:rsidRDefault="002E0719" w:rsidP="002E0719">
      <w:pPr>
        <w:rPr>
          <w:rFonts w:ascii="Times New Roman" w:hAnsi="Times New Roman" w:cs="Times New Roman"/>
        </w:rPr>
      </w:pPr>
    </w:p>
    <w:p w14:paraId="4E2BA376" w14:textId="582151C8" w:rsidR="002E0719" w:rsidRPr="008156C9" w:rsidRDefault="002E0719" w:rsidP="002E0719">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create a paper on effective practices for student learning outcomes assessment and present that information to the field at the </w:t>
      </w:r>
      <w:r w:rsidR="00AF1D4A" w:rsidRPr="008156C9">
        <w:rPr>
          <w:rFonts w:ascii="Times New Roman" w:hAnsi="Times New Roman" w:cs="Times New Roman"/>
        </w:rPr>
        <w:t>Fall</w:t>
      </w:r>
      <w:r w:rsidR="005C4083" w:rsidRPr="008156C9">
        <w:rPr>
          <w:rFonts w:ascii="Times New Roman" w:hAnsi="Times New Roman" w:cs="Times New Roman"/>
        </w:rPr>
        <w:t xml:space="preserve"> </w:t>
      </w:r>
      <w:r w:rsidRPr="008156C9">
        <w:rPr>
          <w:rFonts w:ascii="Times New Roman" w:hAnsi="Times New Roman" w:cs="Times New Roman"/>
        </w:rPr>
        <w:t>2018 plenary session.</w:t>
      </w:r>
    </w:p>
    <w:p w14:paraId="7B2AC10D" w14:textId="77777777" w:rsidR="002E0719" w:rsidRPr="008156C9" w:rsidRDefault="002E0719" w:rsidP="002E0719">
      <w:pPr>
        <w:rPr>
          <w:rFonts w:ascii="Times New Roman" w:hAnsi="Times New Roman" w:cs="Times New Roman"/>
        </w:rPr>
      </w:pPr>
    </w:p>
    <w:p w14:paraId="14B7DA45" w14:textId="0E6EAB2B" w:rsidR="00952B49" w:rsidRPr="008156C9" w:rsidRDefault="002E0719" w:rsidP="00C25C90">
      <w:pPr>
        <w:rPr>
          <w:rFonts w:ascii="Times New Roman" w:hAnsi="Times New Roman" w:cs="Times New Roman"/>
        </w:rPr>
      </w:pPr>
      <w:r w:rsidRPr="008156C9">
        <w:rPr>
          <w:rFonts w:ascii="Times New Roman" w:hAnsi="Times New Roman" w:cs="Times New Roman"/>
        </w:rPr>
        <w:t xml:space="preserve">Contact: Dolores Davison, Curriculum Committee Chair </w:t>
      </w:r>
    </w:p>
    <w:p w14:paraId="77A238C1" w14:textId="77777777" w:rsidR="00715970" w:rsidRPr="008156C9" w:rsidRDefault="00715970" w:rsidP="00C25C90">
      <w:pPr>
        <w:rPr>
          <w:rFonts w:ascii="Times New Roman" w:hAnsi="Times New Roman" w:cs="Times New Roman"/>
        </w:rPr>
      </w:pPr>
    </w:p>
    <w:p w14:paraId="2B09409C" w14:textId="21560D46" w:rsidR="00715970" w:rsidRPr="008156C9" w:rsidRDefault="00C571A1" w:rsidP="00E830F0">
      <w:pPr>
        <w:pStyle w:val="Heading2"/>
        <w:jc w:val="left"/>
      </w:pPr>
      <w:bookmarkStart w:id="15" w:name="_Toc476514185"/>
      <w:r w:rsidRPr="008156C9">
        <w:t>*</w:t>
      </w:r>
      <w:r w:rsidR="00715970" w:rsidRPr="008156C9">
        <w:t>9.02</w:t>
      </w:r>
      <w:r w:rsidR="00715970" w:rsidRPr="008156C9">
        <w:tab/>
        <w:t>S17</w:t>
      </w:r>
      <w:r w:rsidR="00715970" w:rsidRPr="008156C9">
        <w:tab/>
        <w:t xml:space="preserve">Adopt the Revised Paper </w:t>
      </w:r>
      <w:r w:rsidR="00715970" w:rsidRPr="008156C9">
        <w:rPr>
          <w:i/>
        </w:rPr>
        <w:t xml:space="preserve">The Course Outline of Record:  A Curriculum </w:t>
      </w:r>
      <w:r w:rsidR="00F53997">
        <w:rPr>
          <w:i/>
        </w:rPr>
        <w:tab/>
      </w:r>
      <w:r w:rsidR="00F53997">
        <w:rPr>
          <w:i/>
        </w:rPr>
        <w:tab/>
      </w:r>
      <w:r w:rsidR="00F53997">
        <w:rPr>
          <w:i/>
        </w:rPr>
        <w:tab/>
      </w:r>
      <w:r w:rsidR="00715970" w:rsidRPr="008156C9">
        <w:rPr>
          <w:i/>
        </w:rPr>
        <w:t>Reference Guide</w:t>
      </w:r>
      <w:bookmarkEnd w:id="15"/>
    </w:p>
    <w:p w14:paraId="1D007B7D" w14:textId="77777777" w:rsidR="00715970" w:rsidRPr="008156C9" w:rsidRDefault="00715970" w:rsidP="00715970">
      <w:pPr>
        <w:pStyle w:val="NormalWeb"/>
        <w:rPr>
          <w:rFonts w:ascii="Times New Roman" w:hAnsi="Times New Roman"/>
          <w:sz w:val="24"/>
          <w:szCs w:val="24"/>
        </w:rPr>
      </w:pPr>
      <w:r w:rsidRPr="008156C9">
        <w:rPr>
          <w:rFonts w:ascii="Times New Roman" w:hAnsi="Times New Roman"/>
          <w:sz w:val="24"/>
          <w:szCs w:val="24"/>
        </w:rPr>
        <w:t>Whereas, Resolution 9.06 S14 directed the Academic Senate for California Community Colleges to “</w:t>
      </w:r>
      <w:r w:rsidRPr="008156C9">
        <w:rPr>
          <w:rFonts w:ascii="Times New Roman" w:eastAsia="Times New Roman" w:hAnsi="Times New Roman"/>
          <w:sz w:val="24"/>
          <w:szCs w:val="24"/>
        </w:rPr>
        <w:t xml:space="preserve">update </w:t>
      </w:r>
      <w:r w:rsidRPr="008156C9">
        <w:rPr>
          <w:rStyle w:val="Emphasis"/>
          <w:rFonts w:ascii="Times New Roman" w:eastAsia="Times New Roman" w:hAnsi="Times New Roman"/>
          <w:sz w:val="24"/>
          <w:szCs w:val="24"/>
        </w:rPr>
        <w:t>The Course Outline of Record: A Curriculum Reference Guide</w:t>
      </w:r>
      <w:r w:rsidRPr="008156C9">
        <w:rPr>
          <w:rFonts w:ascii="Times New Roman" w:eastAsia="Times New Roman" w:hAnsi="Times New Roman"/>
          <w:sz w:val="24"/>
          <w:szCs w:val="24"/>
        </w:rPr>
        <w:t xml:space="preserve"> to more accurately reflect the current curriculum processes, guidelines, and requirements and present it for adoption at the Spring 2016 Plenary Session.</w:t>
      </w:r>
      <w:r w:rsidRPr="008156C9">
        <w:rPr>
          <w:rFonts w:ascii="Times New Roman" w:hAnsi="Times New Roman"/>
          <w:sz w:val="24"/>
          <w:szCs w:val="24"/>
        </w:rPr>
        <w:t xml:space="preserve">”; </w:t>
      </w:r>
    </w:p>
    <w:p w14:paraId="368E2395" w14:textId="77777777" w:rsidR="00715970" w:rsidRPr="008156C9" w:rsidRDefault="00715970" w:rsidP="00715970">
      <w:pPr>
        <w:pStyle w:val="NormalWeb"/>
        <w:rPr>
          <w:rFonts w:ascii="Times New Roman" w:hAnsi="Times New Roman"/>
          <w:sz w:val="24"/>
          <w:szCs w:val="24"/>
        </w:rPr>
      </w:pPr>
      <w:r w:rsidRPr="008156C9">
        <w:rPr>
          <w:rFonts w:ascii="Times New Roman" w:hAnsi="Times New Roman"/>
          <w:sz w:val="24"/>
          <w:szCs w:val="24"/>
        </w:rPr>
        <w:t>Resolved, That the Academic Senate for California Community Colleges adopt the paper</w:t>
      </w:r>
      <w:r w:rsidRPr="008156C9">
        <w:rPr>
          <w:rStyle w:val="Emphasis"/>
          <w:rFonts w:ascii="Times New Roman" w:hAnsi="Times New Roman"/>
          <w:sz w:val="24"/>
          <w:szCs w:val="24"/>
        </w:rPr>
        <w:t xml:space="preserve"> The Course Outline of Record:  A Curriculum Reference Guide </w:t>
      </w:r>
      <w:r w:rsidRPr="008156C9">
        <w:rPr>
          <w:rFonts w:ascii="Times New Roman" w:hAnsi="Times New Roman"/>
          <w:sz w:val="24"/>
          <w:szCs w:val="24"/>
        </w:rPr>
        <w:t xml:space="preserve">and disseminate the paper to local senates and curriculum committees upon its adoption. </w:t>
      </w:r>
    </w:p>
    <w:p w14:paraId="05F7D550" w14:textId="7D47F3A5" w:rsidR="00715970" w:rsidRPr="008156C9" w:rsidRDefault="00715970" w:rsidP="00715970">
      <w:pPr>
        <w:pStyle w:val="NormalWeb"/>
        <w:rPr>
          <w:rFonts w:ascii="Times New Roman" w:hAnsi="Times New Roman"/>
          <w:sz w:val="24"/>
          <w:szCs w:val="24"/>
        </w:rPr>
      </w:pPr>
      <w:r w:rsidRPr="008156C9">
        <w:rPr>
          <w:rFonts w:ascii="Times New Roman" w:hAnsi="Times New Roman"/>
          <w:sz w:val="24"/>
          <w:szCs w:val="24"/>
        </w:rPr>
        <w:t>Contact:  Dolores Davison, Curriculum Committee</w:t>
      </w:r>
    </w:p>
    <w:p w14:paraId="0FBF0ACC" w14:textId="4E4AC77E" w:rsidR="00715970" w:rsidRPr="008156C9" w:rsidRDefault="00715970" w:rsidP="00715970">
      <w:pPr>
        <w:pStyle w:val="NormalWeb"/>
        <w:rPr>
          <w:rFonts w:ascii="Times New Roman" w:hAnsi="Times New Roman"/>
          <w:sz w:val="24"/>
          <w:szCs w:val="24"/>
        </w:rPr>
      </w:pPr>
      <w:r w:rsidRPr="008156C9">
        <w:rPr>
          <w:rFonts w:ascii="Times New Roman" w:hAnsi="Times New Roman"/>
          <w:sz w:val="24"/>
          <w:szCs w:val="24"/>
        </w:rPr>
        <w:t xml:space="preserve">Appendix </w:t>
      </w:r>
      <w:r w:rsidR="00181403">
        <w:rPr>
          <w:rFonts w:ascii="Times New Roman" w:hAnsi="Times New Roman"/>
          <w:sz w:val="24"/>
          <w:szCs w:val="24"/>
        </w:rPr>
        <w:t>A</w:t>
      </w:r>
      <w:r w:rsidR="00F53997">
        <w:rPr>
          <w:rFonts w:ascii="Times New Roman" w:hAnsi="Times New Roman"/>
          <w:sz w:val="24"/>
          <w:szCs w:val="24"/>
        </w:rPr>
        <w:t xml:space="preserve">:  </w:t>
      </w:r>
      <w:r w:rsidR="00181403">
        <w:rPr>
          <w:rFonts w:ascii="Times New Roman" w:hAnsi="Times New Roman"/>
          <w:sz w:val="24"/>
          <w:szCs w:val="24"/>
        </w:rPr>
        <w:t>Course Outline of Record Paper</w:t>
      </w:r>
    </w:p>
    <w:p w14:paraId="4B5D0329" w14:textId="5E3A503B" w:rsidR="00C25C90" w:rsidRPr="008156C9" w:rsidRDefault="00477AAB" w:rsidP="00477AAB">
      <w:pPr>
        <w:pStyle w:val="Heading1"/>
      </w:pPr>
      <w:bookmarkStart w:id="16" w:name="_Toc476514186"/>
      <w:r w:rsidRPr="008156C9">
        <w:t>10.0</w:t>
      </w:r>
      <w:r w:rsidRPr="008156C9">
        <w:tab/>
        <w:t>DISCIPLINES LIST</w:t>
      </w:r>
      <w:bookmarkEnd w:id="16"/>
    </w:p>
    <w:p w14:paraId="46A50D5D" w14:textId="62F215A7" w:rsidR="00A22D08" w:rsidRPr="008156C9" w:rsidRDefault="00C571A1" w:rsidP="00477AAB">
      <w:pPr>
        <w:pStyle w:val="Heading2"/>
      </w:pPr>
      <w:bookmarkStart w:id="17" w:name="_Toc476514187"/>
      <w:r w:rsidRPr="008156C9">
        <w:t>*</w:t>
      </w:r>
      <w:r w:rsidR="00477AAB" w:rsidRPr="008156C9">
        <w:t>10.01</w:t>
      </w:r>
      <w:r w:rsidR="00477AAB" w:rsidRPr="008156C9">
        <w:tab/>
        <w:t>S17</w:t>
      </w:r>
      <w:r w:rsidR="00477AAB" w:rsidRPr="008156C9">
        <w:tab/>
      </w:r>
      <w:r w:rsidR="00A22D08" w:rsidRPr="008156C9">
        <w:t>Disciplines List – Public Safety</w:t>
      </w:r>
      <w:bookmarkEnd w:id="17"/>
    </w:p>
    <w:p w14:paraId="44FE8B8A" w14:textId="2382D134"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Whereas, Oral and written testimony given through the consultation process used for the review of minimum qualifications for faculty in the California </w:t>
      </w:r>
      <w:r w:rsidR="00921635" w:rsidRPr="008156C9">
        <w:rPr>
          <w:rFonts w:ascii="Times New Roman" w:eastAsia="Calibri" w:hAnsi="Times New Roman" w:cs="Times New Roman"/>
        </w:rPr>
        <w:t>community colleges</w:t>
      </w:r>
      <w:r w:rsidRPr="008156C9">
        <w:rPr>
          <w:rFonts w:ascii="Times New Roman" w:eastAsia="Calibri" w:hAnsi="Times New Roman" w:cs="Times New Roman"/>
        </w:rPr>
        <w:t xml:space="preserve">, known as the “Disciplines List,” supported the following addition of the Public Safety discipline: </w:t>
      </w:r>
    </w:p>
    <w:p w14:paraId="743C1667" w14:textId="77777777" w:rsidR="00A22D08" w:rsidRPr="008156C9" w:rsidRDefault="00A22D08" w:rsidP="00A22D08">
      <w:pPr>
        <w:rPr>
          <w:rFonts w:ascii="Times New Roman" w:eastAsia="Calibri" w:hAnsi="Times New Roman" w:cs="Times New Roman"/>
        </w:rPr>
      </w:pPr>
    </w:p>
    <w:p w14:paraId="4034757D" w14:textId="77777777" w:rsidR="00A22D08" w:rsidRPr="008156C9" w:rsidRDefault="00A22D08" w:rsidP="004F2CDE">
      <w:pPr>
        <w:ind w:left="720"/>
        <w:rPr>
          <w:rFonts w:ascii="Times New Roman" w:eastAsia="Calibri" w:hAnsi="Times New Roman" w:cs="Times New Roman"/>
        </w:rPr>
      </w:pPr>
      <w:r w:rsidRPr="008156C9">
        <w:rPr>
          <w:rFonts w:ascii="Times New Roman" w:eastAsia="Calibri" w:hAnsi="Times New Roman" w:cs="Times New Roman"/>
          <w:i/>
        </w:rPr>
        <w:t>Any bachelor’s degree and two years of professional experience, or an associate’s degree and six years of professional experience</w:t>
      </w:r>
      <w:r w:rsidRPr="008156C9">
        <w:rPr>
          <w:rFonts w:ascii="Times New Roman" w:eastAsia="Calibri" w:hAnsi="Times New Roman" w:cs="Times New Roman"/>
          <w:i/>
          <w:iCs/>
        </w:rPr>
        <w:t xml:space="preserve">; </w:t>
      </w:r>
      <w:r w:rsidRPr="008156C9">
        <w:rPr>
          <w:rFonts w:ascii="Times New Roman" w:eastAsia="Calibri" w:hAnsi="Times New Roman" w:cs="Times New Roman"/>
        </w:rPr>
        <w:t xml:space="preserve">and </w:t>
      </w:r>
    </w:p>
    <w:p w14:paraId="378C10DB" w14:textId="77777777" w:rsidR="00A22D08" w:rsidRPr="008156C9" w:rsidRDefault="00A22D08" w:rsidP="00A22D08">
      <w:pPr>
        <w:rPr>
          <w:rFonts w:ascii="Times New Roman" w:eastAsia="Calibri" w:hAnsi="Times New Roman" w:cs="Times New Roman"/>
        </w:rPr>
      </w:pPr>
    </w:p>
    <w:p w14:paraId="136F703D" w14:textId="77777777"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Whereas, The Executive Committee of the Academic Senate for California Community Colleges has reviewed the proposal and deemed that the process outlined in the “Disciplines List Revision Handbook” was followed; </w:t>
      </w:r>
    </w:p>
    <w:p w14:paraId="35317CFF" w14:textId="77777777" w:rsidR="00A22D08" w:rsidRPr="008156C9" w:rsidRDefault="00A22D08" w:rsidP="00A22D08">
      <w:pPr>
        <w:rPr>
          <w:rFonts w:ascii="Times New Roman" w:eastAsia="Calibri" w:hAnsi="Times New Roman" w:cs="Times New Roman"/>
        </w:rPr>
      </w:pPr>
    </w:p>
    <w:p w14:paraId="46951C40" w14:textId="77777777"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Resolved, That the Academic Senate for California Community Colleges recommend that the California Community Colleges Board of Governors adopt the proposed addition to the “Disciplines List” for Public Safety. </w:t>
      </w:r>
    </w:p>
    <w:p w14:paraId="6169A661" w14:textId="77777777" w:rsidR="00A22D08" w:rsidRPr="008156C9" w:rsidRDefault="00A22D08" w:rsidP="00A22D08">
      <w:pPr>
        <w:rPr>
          <w:rFonts w:ascii="Times New Roman" w:eastAsia="Calibri" w:hAnsi="Times New Roman" w:cs="Times New Roman"/>
        </w:rPr>
      </w:pPr>
    </w:p>
    <w:p w14:paraId="2D20BCFE" w14:textId="77777777"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Contact:  John Freitas, Executive Committee, Standards and Practices Committee </w:t>
      </w:r>
    </w:p>
    <w:p w14:paraId="5BFF2960" w14:textId="77777777" w:rsidR="00A22D08" w:rsidRPr="008156C9" w:rsidRDefault="00A22D08" w:rsidP="00A22D08">
      <w:pPr>
        <w:rPr>
          <w:rFonts w:ascii="Times New Roman" w:eastAsia="Calibri" w:hAnsi="Times New Roman" w:cs="Times New Roman"/>
        </w:rPr>
      </w:pPr>
    </w:p>
    <w:p w14:paraId="66E31E31" w14:textId="5053DA9F"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See Appendix </w:t>
      </w:r>
      <w:r w:rsidR="00181403">
        <w:rPr>
          <w:rFonts w:ascii="Times New Roman" w:eastAsia="Calibri" w:hAnsi="Times New Roman" w:cs="Times New Roman"/>
        </w:rPr>
        <w:t>B</w:t>
      </w:r>
      <w:r w:rsidR="00F53997">
        <w:rPr>
          <w:rFonts w:ascii="Times New Roman" w:eastAsia="Calibri" w:hAnsi="Times New Roman" w:cs="Times New Roman"/>
        </w:rPr>
        <w:t xml:space="preserve">: </w:t>
      </w:r>
      <w:r w:rsidRPr="008156C9">
        <w:rPr>
          <w:rFonts w:ascii="Times New Roman" w:eastAsia="Calibri" w:hAnsi="Times New Roman" w:cs="Times New Roman"/>
        </w:rPr>
        <w:t>Disciplines Summary Report.</w:t>
      </w:r>
    </w:p>
    <w:p w14:paraId="14AD0392" w14:textId="77777777" w:rsidR="00A22D08" w:rsidRPr="008156C9" w:rsidRDefault="00A22D08" w:rsidP="00A22D08">
      <w:pPr>
        <w:rPr>
          <w:rFonts w:ascii="Times New Roman" w:eastAsia="Calibri" w:hAnsi="Times New Roman" w:cs="Times New Roman"/>
        </w:rPr>
      </w:pPr>
    </w:p>
    <w:p w14:paraId="4E4366C7" w14:textId="2E75510D" w:rsidR="00A22D08" w:rsidRPr="008156C9" w:rsidRDefault="00C571A1" w:rsidP="003505BA">
      <w:pPr>
        <w:pStyle w:val="Heading2"/>
        <w:jc w:val="left"/>
      </w:pPr>
      <w:bookmarkStart w:id="18" w:name="_Toc476514188"/>
      <w:r w:rsidRPr="008156C9">
        <w:t>*</w:t>
      </w:r>
      <w:r w:rsidR="00477AAB" w:rsidRPr="008156C9">
        <w:t>10.02</w:t>
      </w:r>
      <w:r w:rsidR="00477AAB" w:rsidRPr="008156C9">
        <w:tab/>
        <w:t>S17</w:t>
      </w:r>
      <w:r w:rsidR="00477AAB" w:rsidRPr="008156C9">
        <w:tab/>
      </w:r>
      <w:r w:rsidR="00A22D08" w:rsidRPr="008156C9">
        <w:t xml:space="preserve">Faculty Internship Minimum Qualifications in Disciplines Not Requiring a </w:t>
      </w:r>
      <w:r w:rsidR="00F53997">
        <w:tab/>
      </w:r>
      <w:r w:rsidR="00F53997">
        <w:tab/>
      </w:r>
      <w:r w:rsidR="00F53997">
        <w:tab/>
      </w:r>
      <w:r w:rsidR="00A22D08" w:rsidRPr="008156C9">
        <w:t>Master’s Degree</w:t>
      </w:r>
      <w:bookmarkEnd w:id="18"/>
    </w:p>
    <w:p w14:paraId="65B320C2" w14:textId="77777777" w:rsidR="00F53997" w:rsidRDefault="00F53997" w:rsidP="00A22D08">
      <w:pPr>
        <w:rPr>
          <w:rFonts w:ascii="Times New Roman" w:eastAsia="Calibri" w:hAnsi="Times New Roman" w:cs="Times New Roman"/>
        </w:rPr>
      </w:pPr>
    </w:p>
    <w:p w14:paraId="0ACAC06E" w14:textId="77777777"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Whereas, Faculty internship programs provide valuable opportunities for prospective community college faculty to gain experience teaching or providing service to students while simultaneously completing the requirements for meeting the minimum qualifications for faculty;</w:t>
      </w:r>
    </w:p>
    <w:p w14:paraId="1F44F12A" w14:textId="77777777" w:rsidR="00A22D08" w:rsidRPr="008156C9" w:rsidRDefault="00A22D08" w:rsidP="00A22D08">
      <w:pPr>
        <w:rPr>
          <w:rFonts w:ascii="Times New Roman" w:eastAsia="Calibri" w:hAnsi="Times New Roman" w:cs="Times New Roman"/>
        </w:rPr>
      </w:pPr>
    </w:p>
    <w:p w14:paraId="32E48A63" w14:textId="71DB83F4"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Whereas, The </w:t>
      </w:r>
      <w:r w:rsidR="0010116B" w:rsidRPr="008156C9">
        <w:rPr>
          <w:rFonts w:ascii="Times New Roman" w:eastAsia="Calibri" w:hAnsi="Times New Roman" w:cs="Times New Roman"/>
        </w:rPr>
        <w:t xml:space="preserve">Board of Governors Task Force on Workforce, Job Creation and a </w:t>
      </w:r>
      <w:r w:rsidRPr="008156C9">
        <w:rPr>
          <w:rFonts w:ascii="Times New Roman" w:eastAsia="Calibri" w:hAnsi="Times New Roman" w:cs="Times New Roman"/>
        </w:rPr>
        <w:t xml:space="preserve">Strong </w:t>
      </w:r>
      <w:r w:rsidR="0010116B" w:rsidRPr="008156C9">
        <w:rPr>
          <w:rFonts w:ascii="Times New Roman" w:eastAsia="Calibri" w:hAnsi="Times New Roman" w:cs="Times New Roman"/>
        </w:rPr>
        <w:t>Economy</w:t>
      </w:r>
      <w:r w:rsidRPr="008156C9">
        <w:rPr>
          <w:rFonts w:ascii="Times New Roman" w:eastAsia="Calibri" w:hAnsi="Times New Roman" w:cs="Times New Roman"/>
        </w:rPr>
        <w:t xml:space="preserve"> recognized through its recommendations the importance of faculty internships as a means to expand opportunities for industry professionals to teach in Career and Technical Education programs, specifically recommendation 14(e), which states:</w:t>
      </w:r>
    </w:p>
    <w:p w14:paraId="049DBF4D" w14:textId="77777777" w:rsidR="00A22D08" w:rsidRPr="008156C9" w:rsidRDefault="00A22D08" w:rsidP="00A22D08">
      <w:pPr>
        <w:ind w:left="720" w:hanging="720"/>
        <w:rPr>
          <w:rFonts w:ascii="Times New Roman" w:eastAsia="Calibri" w:hAnsi="Times New Roman" w:cs="Times New Roman"/>
          <w:i/>
          <w:color w:val="CA8E54"/>
        </w:rPr>
      </w:pPr>
      <w:r w:rsidRPr="008156C9">
        <w:rPr>
          <w:rFonts w:ascii="MS Mincho" w:eastAsia="MS Mincho" w:hAnsi="MS Mincho" w:cs="MS Mincho"/>
          <w:i/>
          <w:color w:val="CA8E54"/>
        </w:rPr>
        <w:t> </w:t>
      </w:r>
      <w:r w:rsidRPr="008156C9">
        <w:rPr>
          <w:rFonts w:ascii="Times New Roman" w:eastAsia="MS Mincho" w:hAnsi="Times New Roman" w:cs="Times New Roman"/>
          <w:i/>
          <w:color w:val="CA8E54"/>
        </w:rPr>
        <w:tab/>
      </w:r>
      <w:r w:rsidRPr="008156C9">
        <w:rPr>
          <w:rFonts w:ascii="Times New Roman" w:eastAsia="Calibri" w:hAnsi="Times New Roman" w:cs="Times New Roman"/>
          <w:i/>
        </w:rPr>
        <w:t>Develop and promote guidelines to implement Title 5 §53502, Faculty Internship Minimum Qualifications, for those disciplines for which a master’s degree is not expected or required</w:t>
      </w:r>
      <w:r w:rsidRPr="008156C9">
        <w:rPr>
          <w:rFonts w:ascii="Times New Roman" w:eastAsia="Calibri" w:hAnsi="Times New Roman" w:cs="Times New Roman"/>
        </w:rPr>
        <w:t>; and</w:t>
      </w:r>
    </w:p>
    <w:p w14:paraId="32C09D74" w14:textId="77777777" w:rsidR="00A22D08" w:rsidRPr="008156C9" w:rsidRDefault="00A22D08" w:rsidP="00A22D08">
      <w:pPr>
        <w:rPr>
          <w:rFonts w:ascii="Times New Roman" w:eastAsia="Calibri" w:hAnsi="Times New Roman" w:cs="Times New Roman"/>
          <w:color w:val="CA8E54"/>
        </w:rPr>
      </w:pPr>
    </w:p>
    <w:p w14:paraId="226532A0" w14:textId="7863FBD3" w:rsidR="00A22D08" w:rsidRPr="008156C9" w:rsidRDefault="00A22D08" w:rsidP="00A22D08">
      <w:pPr>
        <w:rPr>
          <w:rFonts w:ascii="Times New Roman" w:eastAsia="Calibri" w:hAnsi="Times New Roman" w:cs="Times New Roman"/>
          <w:color w:val="191919"/>
        </w:rPr>
      </w:pPr>
      <w:r w:rsidRPr="008156C9">
        <w:rPr>
          <w:rFonts w:ascii="Times New Roman" w:eastAsia="Calibri" w:hAnsi="Times New Roman" w:cs="Times New Roman"/>
        </w:rPr>
        <w:t>Whereas, The current minimum qualifications for faculty interns in disciplines no</w:t>
      </w:r>
      <w:r w:rsidR="008E137E" w:rsidRPr="008156C9">
        <w:rPr>
          <w:rFonts w:ascii="Times New Roman" w:eastAsia="Calibri" w:hAnsi="Times New Roman" w:cs="Times New Roman"/>
        </w:rPr>
        <w:t>t requiring a master’s degree</w:t>
      </w:r>
      <w:r w:rsidRPr="008156C9">
        <w:rPr>
          <w:rFonts w:ascii="Times New Roman" w:eastAsia="Calibri" w:hAnsi="Times New Roman" w:cs="Times New Roman"/>
        </w:rPr>
        <w:t xml:space="preserve"> stated in Title 5 §53502(b)</w:t>
      </w:r>
      <w:r w:rsidR="008C4BBD" w:rsidRPr="008156C9">
        <w:rPr>
          <w:rFonts w:ascii="Times New Roman" w:eastAsia="Calibri" w:hAnsi="Times New Roman" w:cs="Times New Roman"/>
        </w:rPr>
        <w:t xml:space="preserve"> are not fully aligned </w:t>
      </w:r>
      <w:r w:rsidRPr="008156C9">
        <w:rPr>
          <w:rFonts w:ascii="Times New Roman" w:eastAsia="Calibri" w:hAnsi="Times New Roman" w:cs="Times New Roman"/>
          <w:color w:val="191919"/>
        </w:rPr>
        <w:t xml:space="preserve">with the minimum qualifications for credit faculty in disciplines not requiring master’s degrees stated in Title 5 §53410, </w:t>
      </w:r>
      <w:r w:rsidR="008C4BBD" w:rsidRPr="008156C9">
        <w:rPr>
          <w:rFonts w:ascii="Times New Roman" w:eastAsia="Calibri" w:hAnsi="Times New Roman" w:cs="Times New Roman"/>
        </w:rPr>
        <w:t xml:space="preserve">such as the use of the term “industry experience” instead of “professional experience” and the lack of a provision for interns who are completing or who have completed baccalaureate degrees, </w:t>
      </w:r>
      <w:r w:rsidR="008C4BBD" w:rsidRPr="008156C9">
        <w:rPr>
          <w:rFonts w:ascii="Times New Roman" w:eastAsia="Calibri" w:hAnsi="Times New Roman" w:cs="Times New Roman"/>
          <w:color w:val="191919"/>
        </w:rPr>
        <w:t>and this lack of alignment</w:t>
      </w:r>
      <w:r w:rsidRPr="008156C9">
        <w:rPr>
          <w:rFonts w:ascii="Times New Roman" w:eastAsia="Calibri" w:hAnsi="Times New Roman" w:cs="Times New Roman"/>
          <w:color w:val="191919"/>
        </w:rPr>
        <w:t xml:space="preserve"> may present difficulties in developing the guidelines on faculty internship minimum qualifications recommended by the Strong Workforce Task Force;</w:t>
      </w:r>
    </w:p>
    <w:p w14:paraId="1F53E28B" w14:textId="77777777" w:rsidR="00A22D08" w:rsidRPr="008156C9" w:rsidRDefault="00A22D08" w:rsidP="00A22D08">
      <w:pPr>
        <w:rPr>
          <w:rFonts w:ascii="Times New Roman" w:eastAsia="Calibri" w:hAnsi="Times New Roman" w:cs="Times New Roman"/>
        </w:rPr>
      </w:pPr>
    </w:p>
    <w:p w14:paraId="7026ADBC" w14:textId="53085B8A"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Resolved, That the Academic Senate for California Community Colleges work with the Chancellor’s Office to review, clarify, and develop as needed possible revisions to the minimum qualifications for faculty interns as stated in Title 5 §53502(b) for disciplines not requiring a master’s degree in order to promote the expansion </w:t>
      </w:r>
      <w:r w:rsidR="009A182E" w:rsidRPr="008156C9">
        <w:rPr>
          <w:rFonts w:ascii="Times New Roman" w:eastAsia="Calibri" w:hAnsi="Times New Roman" w:cs="Times New Roman"/>
        </w:rPr>
        <w:t xml:space="preserve">of </w:t>
      </w:r>
      <w:r w:rsidRPr="008156C9">
        <w:rPr>
          <w:rFonts w:ascii="Times New Roman" w:eastAsia="Calibri" w:hAnsi="Times New Roman" w:cs="Times New Roman"/>
        </w:rPr>
        <w:t>faculty internship opportuni</w:t>
      </w:r>
      <w:r w:rsidR="004F2CDE" w:rsidRPr="008156C9">
        <w:rPr>
          <w:rFonts w:ascii="Times New Roman" w:eastAsia="Calibri" w:hAnsi="Times New Roman" w:cs="Times New Roman"/>
        </w:rPr>
        <w:t>ties for industry professionals</w:t>
      </w:r>
      <w:r w:rsidRPr="008156C9">
        <w:rPr>
          <w:rFonts w:ascii="Times New Roman" w:eastAsia="Calibri" w:hAnsi="Times New Roman" w:cs="Times New Roman"/>
        </w:rPr>
        <w:t xml:space="preserve"> and report its findings by </w:t>
      </w:r>
      <w:r w:rsidR="00025368" w:rsidRPr="008156C9">
        <w:rPr>
          <w:rFonts w:ascii="Times New Roman" w:eastAsia="Calibri" w:hAnsi="Times New Roman" w:cs="Times New Roman"/>
        </w:rPr>
        <w:t xml:space="preserve">Fall </w:t>
      </w:r>
      <w:r w:rsidRPr="008156C9">
        <w:rPr>
          <w:rFonts w:ascii="Times New Roman" w:eastAsia="Calibri" w:hAnsi="Times New Roman" w:cs="Times New Roman"/>
        </w:rPr>
        <w:t>2017.</w:t>
      </w:r>
    </w:p>
    <w:p w14:paraId="16E3EAD4" w14:textId="77777777" w:rsidR="00A22D08" w:rsidRPr="008156C9" w:rsidRDefault="00A22D08" w:rsidP="00A22D08">
      <w:pPr>
        <w:rPr>
          <w:rFonts w:ascii="Times New Roman" w:eastAsia="Calibri" w:hAnsi="Times New Roman" w:cs="Times New Roman"/>
        </w:rPr>
      </w:pPr>
    </w:p>
    <w:p w14:paraId="40B47F49" w14:textId="77777777"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Contact: Stacey </w:t>
      </w:r>
      <w:proofErr w:type="spellStart"/>
      <w:r w:rsidRPr="008156C9">
        <w:rPr>
          <w:rFonts w:ascii="Times New Roman" w:eastAsia="Calibri" w:hAnsi="Times New Roman" w:cs="Times New Roman"/>
        </w:rPr>
        <w:t>Searl</w:t>
      </w:r>
      <w:proofErr w:type="spellEnd"/>
      <w:r w:rsidRPr="008156C9">
        <w:rPr>
          <w:rFonts w:ascii="Times New Roman" w:eastAsia="Calibri" w:hAnsi="Times New Roman" w:cs="Times New Roman"/>
        </w:rPr>
        <w:t>-Chapin, Mt. San Jacinto College, Standards and Practices Committee</w:t>
      </w:r>
    </w:p>
    <w:p w14:paraId="6783FD2B" w14:textId="77777777" w:rsidR="00A22D08" w:rsidRPr="008156C9" w:rsidRDefault="00A22D08" w:rsidP="00A22D08">
      <w:pPr>
        <w:rPr>
          <w:rFonts w:ascii="Times New Roman" w:eastAsia="Calibri" w:hAnsi="Times New Roman" w:cs="Times New Roman"/>
        </w:rPr>
      </w:pPr>
    </w:p>
    <w:p w14:paraId="4D9438CE" w14:textId="6E0E910F"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See Appendix </w:t>
      </w:r>
      <w:r w:rsidR="00181403">
        <w:rPr>
          <w:rFonts w:ascii="Times New Roman" w:eastAsia="Calibri" w:hAnsi="Times New Roman" w:cs="Times New Roman"/>
        </w:rPr>
        <w:t>C</w:t>
      </w:r>
      <w:r w:rsidR="00F53997">
        <w:rPr>
          <w:rFonts w:ascii="Times New Roman" w:eastAsia="Calibri" w:hAnsi="Times New Roman" w:cs="Times New Roman"/>
        </w:rPr>
        <w:t>: C</w:t>
      </w:r>
      <w:r w:rsidRPr="008156C9">
        <w:rPr>
          <w:rFonts w:ascii="Times New Roman" w:eastAsia="Calibri" w:hAnsi="Times New Roman" w:cs="Times New Roman"/>
        </w:rPr>
        <w:t xml:space="preserve">omparison of the language in Title 5 </w:t>
      </w:r>
      <w:r w:rsidRPr="008156C9">
        <w:rPr>
          <w:rFonts w:ascii="Times New Roman" w:eastAsia="Calibri" w:hAnsi="Times New Roman" w:cs="Times New Roman"/>
          <w:color w:val="191919"/>
        </w:rPr>
        <w:t xml:space="preserve">§53410 and </w:t>
      </w:r>
      <w:r w:rsidRPr="008156C9">
        <w:rPr>
          <w:rFonts w:ascii="Times New Roman" w:eastAsia="Calibri" w:hAnsi="Times New Roman" w:cs="Times New Roman"/>
        </w:rPr>
        <w:t>§53502(b).</w:t>
      </w:r>
    </w:p>
    <w:p w14:paraId="4C6EB5DB" w14:textId="77777777" w:rsidR="00A22D08" w:rsidRPr="008156C9" w:rsidRDefault="00A22D08" w:rsidP="00A22D08">
      <w:pPr>
        <w:rPr>
          <w:rFonts w:ascii="Times New Roman" w:eastAsia="Calibri" w:hAnsi="Times New Roman" w:cs="Times New Roman"/>
        </w:rPr>
      </w:pPr>
    </w:p>
    <w:p w14:paraId="0AC0C062" w14:textId="6B807201" w:rsidR="00F25DA6" w:rsidRPr="008156C9" w:rsidRDefault="00C571A1" w:rsidP="00D21C8F">
      <w:pPr>
        <w:pStyle w:val="Heading2"/>
        <w:jc w:val="left"/>
      </w:pPr>
      <w:bookmarkStart w:id="19" w:name="_Toc476514189"/>
      <w:r w:rsidRPr="008156C9">
        <w:t>*</w:t>
      </w:r>
      <w:r w:rsidR="004F2CDE" w:rsidRPr="008156C9">
        <w:t>10.03</w:t>
      </w:r>
      <w:r w:rsidR="004F2CDE" w:rsidRPr="008156C9">
        <w:tab/>
        <w:t>S17</w:t>
      </w:r>
      <w:r w:rsidR="004F2CDE" w:rsidRPr="008156C9">
        <w:tab/>
      </w:r>
      <w:r w:rsidR="00F25DA6" w:rsidRPr="008156C9">
        <w:t xml:space="preserve">Review Experience Definitions for Disciplines Not Requiring a Master’s </w:t>
      </w:r>
      <w:r w:rsidR="00F53997">
        <w:tab/>
      </w:r>
      <w:r w:rsidR="00F53997">
        <w:tab/>
      </w:r>
      <w:r w:rsidR="00F53997">
        <w:tab/>
      </w:r>
      <w:r w:rsidR="00F25DA6" w:rsidRPr="008156C9">
        <w:t>Degree</w:t>
      </w:r>
      <w:bookmarkEnd w:id="19"/>
    </w:p>
    <w:p w14:paraId="39A2942A" w14:textId="77777777" w:rsidR="00F53997" w:rsidRDefault="00F53997" w:rsidP="00F25DA6">
      <w:pPr>
        <w:rPr>
          <w:rFonts w:ascii="Times New Roman" w:eastAsia="Calibri" w:hAnsi="Times New Roman" w:cs="Times New Roman"/>
        </w:rPr>
      </w:pPr>
    </w:p>
    <w:p w14:paraId="1FA11717" w14:textId="459A9124" w:rsidR="00F25DA6" w:rsidRPr="008156C9" w:rsidRDefault="00F25DA6" w:rsidP="00F25DA6">
      <w:pPr>
        <w:rPr>
          <w:rFonts w:ascii="Times New Roman" w:eastAsia="Calibri" w:hAnsi="Times New Roman" w:cs="Times New Roman"/>
        </w:rPr>
      </w:pPr>
      <w:r w:rsidRPr="008156C9">
        <w:rPr>
          <w:rFonts w:ascii="Times New Roman" w:eastAsia="Calibri" w:hAnsi="Times New Roman" w:cs="Times New Roman"/>
        </w:rPr>
        <w:t>Whereas, Title 5 §53404 (last amended in 1994) defines experience, as required for faculty minimum qualifications, solely in terms of years of full-time experience;</w:t>
      </w:r>
      <w:r w:rsidR="00221DC8" w:rsidRPr="008156C9">
        <w:rPr>
          <w:rFonts w:ascii="Times New Roman" w:eastAsia="Calibri" w:hAnsi="Times New Roman" w:cs="Times New Roman"/>
        </w:rPr>
        <w:t xml:space="preserve"> and</w:t>
      </w:r>
    </w:p>
    <w:p w14:paraId="01FF9CA2" w14:textId="77777777" w:rsidR="00F25DA6" w:rsidRPr="008156C9" w:rsidRDefault="00F25DA6" w:rsidP="00F25DA6">
      <w:pPr>
        <w:rPr>
          <w:rFonts w:ascii="Times New Roman" w:eastAsia="Calibri" w:hAnsi="Times New Roman" w:cs="Times New Roman"/>
        </w:rPr>
      </w:pPr>
    </w:p>
    <w:p w14:paraId="4628AD12" w14:textId="41DE773B" w:rsidR="00F25DA6" w:rsidRPr="008156C9" w:rsidRDefault="00F25DA6" w:rsidP="00F25DA6">
      <w:pPr>
        <w:rPr>
          <w:rFonts w:ascii="Times New Roman" w:eastAsia="Calibri" w:hAnsi="Times New Roman" w:cs="Times New Roman"/>
        </w:rPr>
      </w:pPr>
      <w:r w:rsidRPr="008156C9">
        <w:rPr>
          <w:rFonts w:ascii="Times New Roman" w:eastAsia="Calibri" w:hAnsi="Times New Roman" w:cs="Times New Roman"/>
        </w:rPr>
        <w:t xml:space="preserve">Whereas, The current requirement of basing the required experience in disciplines not requiring a master’s degree on years of full-time experience emphasizes quantity of experience over quality of experience </w:t>
      </w:r>
      <w:r w:rsidR="00633F23" w:rsidRPr="008156C9">
        <w:rPr>
          <w:rFonts w:ascii="Times New Roman" w:eastAsia="Calibri" w:hAnsi="Times New Roman" w:cs="Times New Roman"/>
        </w:rPr>
        <w:t xml:space="preserve">and </w:t>
      </w:r>
      <w:r w:rsidRPr="008156C9">
        <w:rPr>
          <w:rFonts w:ascii="Times New Roman" w:eastAsia="Calibri" w:hAnsi="Times New Roman" w:cs="Times New Roman"/>
        </w:rPr>
        <w:t xml:space="preserve">excludes applicants who may be well-rounded in their fields but who have not worked full-time for the number of years required to meet the minimum qualifications stated in Title 5 §53410, thus reducing the pool of otherwise qualified applicants for faculty positions in those disciplines; </w:t>
      </w:r>
    </w:p>
    <w:p w14:paraId="21846A8D" w14:textId="77777777" w:rsidR="00F25DA6" w:rsidRPr="008156C9" w:rsidRDefault="00F25DA6" w:rsidP="00F25DA6">
      <w:pPr>
        <w:rPr>
          <w:rFonts w:ascii="Times New Roman" w:eastAsia="Calibri" w:hAnsi="Times New Roman" w:cs="Times New Roman"/>
        </w:rPr>
      </w:pPr>
    </w:p>
    <w:p w14:paraId="6FF879FD" w14:textId="587A9277" w:rsidR="00F25DA6" w:rsidRPr="008156C9" w:rsidRDefault="00F25DA6" w:rsidP="00F25DA6">
      <w:pPr>
        <w:rPr>
          <w:rFonts w:ascii="Times New Roman" w:eastAsia="Calibri" w:hAnsi="Times New Roman" w:cs="Times New Roman"/>
        </w:rPr>
      </w:pPr>
      <w:r w:rsidRPr="008156C9">
        <w:rPr>
          <w:rFonts w:ascii="Times New Roman" w:eastAsia="Calibri" w:hAnsi="Times New Roman" w:cs="Times New Roman"/>
        </w:rPr>
        <w:t xml:space="preserve">Resolved, That the Academic Senate for California Community Colleges work with discipline faculty to </w:t>
      </w:r>
      <w:r w:rsidR="00581223" w:rsidRPr="008156C9">
        <w:rPr>
          <w:rFonts w:ascii="Times New Roman" w:eastAsia="Calibri" w:hAnsi="Times New Roman" w:cs="Times New Roman"/>
        </w:rPr>
        <w:t xml:space="preserve">investigate applications of the </w:t>
      </w:r>
      <w:r w:rsidRPr="008156C9">
        <w:rPr>
          <w:rFonts w:ascii="Times New Roman" w:eastAsia="Calibri" w:hAnsi="Times New Roman" w:cs="Times New Roman"/>
        </w:rPr>
        <w:t>current definitions of professional and occupational expe</w:t>
      </w:r>
      <w:r w:rsidR="00633F23" w:rsidRPr="008156C9">
        <w:rPr>
          <w:rFonts w:ascii="Times New Roman" w:eastAsia="Calibri" w:hAnsi="Times New Roman" w:cs="Times New Roman"/>
        </w:rPr>
        <w:t xml:space="preserve">rience </w:t>
      </w:r>
      <w:r w:rsidRPr="008156C9">
        <w:rPr>
          <w:rFonts w:ascii="Times New Roman" w:eastAsia="Calibri" w:hAnsi="Times New Roman" w:cs="Times New Roman"/>
        </w:rPr>
        <w:t xml:space="preserve">and report its findings by </w:t>
      </w:r>
      <w:r w:rsidR="00025368" w:rsidRPr="008156C9">
        <w:rPr>
          <w:rFonts w:ascii="Times New Roman" w:eastAsia="Calibri" w:hAnsi="Times New Roman" w:cs="Times New Roman"/>
        </w:rPr>
        <w:t xml:space="preserve">Fall </w:t>
      </w:r>
      <w:r w:rsidRPr="008156C9">
        <w:rPr>
          <w:rFonts w:ascii="Times New Roman" w:eastAsia="Calibri" w:hAnsi="Times New Roman" w:cs="Times New Roman"/>
        </w:rPr>
        <w:t>2017.</w:t>
      </w:r>
    </w:p>
    <w:p w14:paraId="2A6CC5CA" w14:textId="77777777" w:rsidR="00F25DA6" w:rsidRPr="008156C9" w:rsidRDefault="00F25DA6" w:rsidP="00F25DA6">
      <w:pPr>
        <w:rPr>
          <w:rFonts w:ascii="Times New Roman" w:eastAsia="Calibri" w:hAnsi="Times New Roman" w:cs="Times New Roman"/>
        </w:rPr>
      </w:pPr>
    </w:p>
    <w:p w14:paraId="6DF5D386" w14:textId="69E6E2F0" w:rsidR="00F25DA6" w:rsidRPr="008156C9" w:rsidRDefault="00F25DA6" w:rsidP="00C25C90">
      <w:pPr>
        <w:rPr>
          <w:rFonts w:ascii="Times New Roman" w:eastAsia="Calibri" w:hAnsi="Times New Roman" w:cs="Times New Roman"/>
        </w:rPr>
      </w:pPr>
      <w:r w:rsidRPr="008156C9">
        <w:rPr>
          <w:rFonts w:ascii="Times New Roman" w:eastAsia="Calibri" w:hAnsi="Times New Roman" w:cs="Times New Roman"/>
        </w:rPr>
        <w:t xml:space="preserve">Contact:  Eric </w:t>
      </w:r>
      <w:proofErr w:type="spellStart"/>
      <w:r w:rsidRPr="008156C9">
        <w:rPr>
          <w:rFonts w:ascii="Times New Roman" w:eastAsia="Calibri" w:hAnsi="Times New Roman" w:cs="Times New Roman"/>
        </w:rPr>
        <w:t>Narveson</w:t>
      </w:r>
      <w:proofErr w:type="spellEnd"/>
      <w:r w:rsidRPr="008156C9">
        <w:rPr>
          <w:rFonts w:ascii="Times New Roman" w:eastAsia="Calibri" w:hAnsi="Times New Roman" w:cs="Times New Roman"/>
        </w:rPr>
        <w:t>, Evergreen Valley College, Standards and Practices Committee</w:t>
      </w:r>
    </w:p>
    <w:p w14:paraId="436EAA3A" w14:textId="77777777" w:rsidR="006F4F03" w:rsidRPr="008156C9" w:rsidRDefault="006F4F03" w:rsidP="00C25C90">
      <w:pPr>
        <w:rPr>
          <w:rFonts w:ascii="Times New Roman" w:hAnsi="Times New Roman" w:cs="Times New Roman"/>
        </w:rPr>
      </w:pPr>
    </w:p>
    <w:p w14:paraId="1D01B08F" w14:textId="7763CA0D" w:rsidR="006F4F03" w:rsidRPr="008156C9" w:rsidRDefault="00C571A1" w:rsidP="00D21C8F">
      <w:pPr>
        <w:pStyle w:val="Heading2"/>
        <w:jc w:val="left"/>
      </w:pPr>
      <w:bookmarkStart w:id="20" w:name="_Toc476514190"/>
      <w:r w:rsidRPr="008156C9">
        <w:t>*</w:t>
      </w:r>
      <w:r w:rsidR="004F2CDE" w:rsidRPr="008156C9">
        <w:t>10.04</w:t>
      </w:r>
      <w:r w:rsidR="004F2CDE" w:rsidRPr="008156C9">
        <w:tab/>
        <w:t>S17</w:t>
      </w:r>
      <w:r w:rsidR="004F2CDE" w:rsidRPr="008156C9">
        <w:tab/>
      </w:r>
      <w:r w:rsidR="006F4F03" w:rsidRPr="008156C9">
        <w:t xml:space="preserve">Review Experience Requirements for Disciplines Not Requiring a Master’s </w:t>
      </w:r>
      <w:r w:rsidR="00F53997">
        <w:tab/>
      </w:r>
      <w:r w:rsidR="00F53997">
        <w:tab/>
      </w:r>
      <w:r w:rsidR="00F53997">
        <w:tab/>
      </w:r>
      <w:r w:rsidR="006F4F03" w:rsidRPr="008156C9">
        <w:t>Degree</w:t>
      </w:r>
      <w:bookmarkEnd w:id="20"/>
    </w:p>
    <w:p w14:paraId="4A4B5E11" w14:textId="77777777" w:rsidR="00F53997" w:rsidRDefault="00F53997" w:rsidP="006F4F03">
      <w:pPr>
        <w:rPr>
          <w:rFonts w:ascii="Times New Roman" w:eastAsia="Calibri" w:hAnsi="Times New Roman" w:cs="Times New Roman"/>
        </w:rPr>
      </w:pPr>
    </w:p>
    <w:p w14:paraId="64DF1F36" w14:textId="07C63C6F" w:rsidR="006F4F03" w:rsidRPr="008156C9" w:rsidRDefault="006F4F03" w:rsidP="006F4F03">
      <w:pPr>
        <w:rPr>
          <w:rFonts w:ascii="Times New Roman" w:eastAsia="Calibri" w:hAnsi="Times New Roman" w:cs="Times New Roman"/>
          <w:color w:val="191919"/>
        </w:rPr>
      </w:pPr>
      <w:r w:rsidRPr="008156C9">
        <w:rPr>
          <w:rFonts w:ascii="Times New Roman" w:eastAsia="Calibri" w:hAnsi="Times New Roman" w:cs="Times New Roman"/>
        </w:rPr>
        <w:t>Whereas, The professional experience components of the minimum qualifications for faculty in disciplines not requiring a master’s degree are identical</w:t>
      </w:r>
      <w:r w:rsidR="00926F51" w:rsidRPr="008156C9">
        <w:rPr>
          <w:rFonts w:ascii="Times New Roman" w:eastAsia="Calibri" w:hAnsi="Times New Roman" w:cs="Times New Roman"/>
        </w:rPr>
        <w:t xml:space="preserve"> regardless of whether or not the degree earned is in the discipline</w:t>
      </w:r>
      <w:r w:rsidRPr="008156C9">
        <w:rPr>
          <w:rFonts w:ascii="Times New Roman" w:eastAsia="Calibri" w:hAnsi="Times New Roman" w:cs="Times New Roman"/>
        </w:rPr>
        <w:t>;</w:t>
      </w:r>
      <w:r w:rsidR="00633F23" w:rsidRPr="008156C9">
        <w:rPr>
          <w:rFonts w:ascii="Times New Roman" w:eastAsia="Calibri" w:hAnsi="Times New Roman" w:cs="Times New Roman"/>
        </w:rPr>
        <w:t xml:space="preserve"> and</w:t>
      </w:r>
    </w:p>
    <w:p w14:paraId="5EBD3C79" w14:textId="77777777" w:rsidR="006F4F03" w:rsidRPr="008156C9" w:rsidRDefault="006F4F03" w:rsidP="006F4F03">
      <w:pPr>
        <w:rPr>
          <w:rFonts w:ascii="Times New Roman" w:eastAsia="Calibri" w:hAnsi="Times New Roman" w:cs="Times New Roman"/>
        </w:rPr>
      </w:pPr>
    </w:p>
    <w:p w14:paraId="1CC5D057" w14:textId="77777777"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 xml:space="preserve">Whereas, The lack of any credit from earning an associate’s or bachelor’s degree in the discipline directly related to the faculty member’s teaching assignment towards the professional experience requirement disregards the expertise gained by completing a degree in that discipline; </w:t>
      </w:r>
    </w:p>
    <w:p w14:paraId="6BD66009" w14:textId="77777777" w:rsidR="006F4F03" w:rsidRPr="008156C9" w:rsidRDefault="006F4F03" w:rsidP="006F4F03">
      <w:pPr>
        <w:rPr>
          <w:rFonts w:ascii="Times New Roman" w:eastAsia="Calibri" w:hAnsi="Times New Roman" w:cs="Times New Roman"/>
        </w:rPr>
      </w:pPr>
    </w:p>
    <w:p w14:paraId="1A2F2F95" w14:textId="5A99CE38"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Resolved, That the Academic Senate for California Community Colleges work with discipline faculty to explore the potential of revising the minimum qualifications for disciplines not requiring a master’s degree in order to allow for appropriate credit for years of professional experience when an associate’s or bachelor’s degree is comple</w:t>
      </w:r>
      <w:r w:rsidR="00633F23" w:rsidRPr="008156C9">
        <w:rPr>
          <w:rFonts w:ascii="Times New Roman" w:eastAsia="Calibri" w:hAnsi="Times New Roman" w:cs="Times New Roman"/>
        </w:rPr>
        <w:t xml:space="preserve">ted in the specific discipline </w:t>
      </w:r>
      <w:r w:rsidRPr="008156C9">
        <w:rPr>
          <w:rFonts w:ascii="Times New Roman" w:eastAsia="Calibri" w:hAnsi="Times New Roman" w:cs="Times New Roman"/>
        </w:rPr>
        <w:t>and report its finding</w:t>
      </w:r>
      <w:r w:rsidR="00583ECB" w:rsidRPr="008156C9">
        <w:rPr>
          <w:rFonts w:ascii="Times New Roman" w:eastAsia="Calibri" w:hAnsi="Times New Roman" w:cs="Times New Roman"/>
        </w:rPr>
        <w:t>s by F</w:t>
      </w:r>
      <w:r w:rsidRPr="008156C9">
        <w:rPr>
          <w:rFonts w:ascii="Times New Roman" w:eastAsia="Calibri" w:hAnsi="Times New Roman" w:cs="Times New Roman"/>
        </w:rPr>
        <w:t>all 2017.</w:t>
      </w:r>
    </w:p>
    <w:p w14:paraId="1F4139C7" w14:textId="77777777" w:rsidR="006F4F03" w:rsidRPr="008156C9" w:rsidRDefault="006F4F03" w:rsidP="006F4F03">
      <w:pPr>
        <w:rPr>
          <w:rFonts w:ascii="Times New Roman" w:eastAsia="Calibri" w:hAnsi="Times New Roman" w:cs="Times New Roman"/>
        </w:rPr>
      </w:pPr>
    </w:p>
    <w:p w14:paraId="2452482F" w14:textId="77777777"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 xml:space="preserve">Contact: Stacey </w:t>
      </w:r>
      <w:proofErr w:type="spellStart"/>
      <w:r w:rsidRPr="008156C9">
        <w:rPr>
          <w:rFonts w:ascii="Times New Roman" w:eastAsia="Calibri" w:hAnsi="Times New Roman" w:cs="Times New Roman"/>
        </w:rPr>
        <w:t>Searl</w:t>
      </w:r>
      <w:proofErr w:type="spellEnd"/>
      <w:r w:rsidRPr="008156C9">
        <w:rPr>
          <w:rFonts w:ascii="Times New Roman" w:eastAsia="Calibri" w:hAnsi="Times New Roman" w:cs="Times New Roman"/>
        </w:rPr>
        <w:t>-Chapin, Mt. San Jacinto College, Standards and Practices Committee</w:t>
      </w:r>
    </w:p>
    <w:p w14:paraId="03A7F218" w14:textId="77777777" w:rsidR="006F4F03" w:rsidRPr="008156C9" w:rsidRDefault="006F4F03" w:rsidP="006F4F03">
      <w:pPr>
        <w:rPr>
          <w:rFonts w:ascii="Times New Roman" w:eastAsia="Calibri" w:hAnsi="Times New Roman" w:cs="Times New Roman"/>
        </w:rPr>
      </w:pPr>
    </w:p>
    <w:p w14:paraId="6D9BBCD4" w14:textId="0335FA88" w:rsidR="006F4F03" w:rsidRPr="008156C9" w:rsidRDefault="00C571A1" w:rsidP="005F155D">
      <w:pPr>
        <w:pStyle w:val="Heading2"/>
      </w:pPr>
      <w:bookmarkStart w:id="21" w:name="_Toc476514191"/>
      <w:r w:rsidRPr="008156C9">
        <w:t>*</w:t>
      </w:r>
      <w:r w:rsidR="00194A42" w:rsidRPr="008156C9">
        <w:t>10.05</w:t>
      </w:r>
      <w:r w:rsidR="005F155D" w:rsidRPr="008156C9">
        <w:tab/>
        <w:t>S17</w:t>
      </w:r>
      <w:r w:rsidR="005F155D" w:rsidRPr="008156C9">
        <w:tab/>
      </w:r>
      <w:r w:rsidR="006F4F03" w:rsidRPr="008156C9">
        <w:t>Equivalency Resources for Local Senates</w:t>
      </w:r>
      <w:bookmarkEnd w:id="21"/>
    </w:p>
    <w:p w14:paraId="48648A11" w14:textId="77777777" w:rsidR="00F53997" w:rsidRDefault="00F53997" w:rsidP="006F4F03">
      <w:pPr>
        <w:rPr>
          <w:rFonts w:ascii="Times New Roman" w:eastAsia="Calibri" w:hAnsi="Times New Roman" w:cs="Times New Roman"/>
        </w:rPr>
      </w:pPr>
    </w:p>
    <w:p w14:paraId="0AA8065B" w14:textId="77777777"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 xml:space="preserve">Whereas, The Academic Senate for California Community Colleges has long asserted that all faculty must model what it means to be an educated person through the attainment of depth and breadth of knowledge and experience at least equal to the discipline-specific and general education requirements of a college degree; </w:t>
      </w:r>
    </w:p>
    <w:p w14:paraId="6B0895EA" w14:textId="77777777" w:rsidR="006F4F03" w:rsidRPr="008156C9" w:rsidRDefault="006F4F03" w:rsidP="006F4F03">
      <w:pPr>
        <w:rPr>
          <w:rFonts w:ascii="Times New Roman" w:eastAsia="Calibri" w:hAnsi="Times New Roman" w:cs="Times New Roman"/>
        </w:rPr>
      </w:pPr>
    </w:p>
    <w:p w14:paraId="436C2F70" w14:textId="77777777"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Whereas, Applicants for faculty positions in the California community colleges who do not meet the minimum qualifications may demonstrate that their qualifications are equivalent to the minimum qualifications through a variety of means, depending on local policies, including through demonstrated completion of academic coursework in the discipline and in general education, through work experience, and through eminence; and</w:t>
      </w:r>
    </w:p>
    <w:p w14:paraId="2864B83A" w14:textId="77777777" w:rsidR="006F4F03" w:rsidRPr="008156C9" w:rsidRDefault="006F4F03" w:rsidP="006F4F03">
      <w:pPr>
        <w:rPr>
          <w:rFonts w:ascii="Times New Roman" w:eastAsia="Calibri" w:hAnsi="Times New Roman" w:cs="Times New Roman"/>
        </w:rPr>
      </w:pPr>
    </w:p>
    <w:p w14:paraId="3AFC490F" w14:textId="66480314"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Whereas, Local senates often struggle with determining whether or not the qualifications of applicants with significant ye</w:t>
      </w:r>
      <w:r w:rsidR="005F155D" w:rsidRPr="008156C9">
        <w:rPr>
          <w:rFonts w:ascii="Times New Roman" w:eastAsia="Calibri" w:hAnsi="Times New Roman" w:cs="Times New Roman"/>
        </w:rPr>
        <w:t xml:space="preserve">ars of professional experience </w:t>
      </w:r>
      <w:r w:rsidRPr="008156C9">
        <w:rPr>
          <w:rFonts w:ascii="Times New Roman" w:eastAsia="Calibri" w:hAnsi="Times New Roman" w:cs="Times New Roman"/>
        </w:rPr>
        <w:t>but with little or no formal academic preparation are equivalent to the minimum qualifications, particularly in the CTE disciplines, and would benefit from the availability of expanded resources for determining equivalencies to the minimum qualifications;</w:t>
      </w:r>
    </w:p>
    <w:p w14:paraId="7B8BA2EE" w14:textId="77777777" w:rsidR="006F4F03" w:rsidRPr="008156C9" w:rsidRDefault="006F4F03" w:rsidP="006F4F03">
      <w:pPr>
        <w:rPr>
          <w:rFonts w:ascii="Times New Roman" w:eastAsia="Calibri" w:hAnsi="Times New Roman" w:cs="Times New Roman"/>
        </w:rPr>
      </w:pPr>
    </w:p>
    <w:p w14:paraId="36F6868A" w14:textId="6F8D4FCF"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Resolved, That the Academic Senate for California Community Colleges work with faculty and other entities as appropriate to develop and disseminate resources that empower local senates to evaluate and assess</w:t>
      </w:r>
      <w:r w:rsidR="00DE5714" w:rsidRPr="008156C9">
        <w:rPr>
          <w:rFonts w:ascii="Times New Roman" w:eastAsia="Calibri" w:hAnsi="Times New Roman" w:cs="Times New Roman"/>
        </w:rPr>
        <w:t>,</w:t>
      </w:r>
      <w:r w:rsidRPr="008156C9">
        <w:rPr>
          <w:rFonts w:ascii="Times New Roman" w:eastAsia="Calibri" w:hAnsi="Times New Roman" w:cs="Times New Roman"/>
        </w:rPr>
        <w:t xml:space="preserve"> more effectively and with greater flexibility</w:t>
      </w:r>
      <w:r w:rsidR="00DE5714" w:rsidRPr="008156C9">
        <w:rPr>
          <w:rFonts w:ascii="Times New Roman" w:eastAsia="Calibri" w:hAnsi="Times New Roman" w:cs="Times New Roman"/>
        </w:rPr>
        <w:t>,</w:t>
      </w:r>
      <w:r w:rsidRPr="008156C9">
        <w:rPr>
          <w:rFonts w:ascii="Times New Roman" w:eastAsia="Calibri" w:hAnsi="Times New Roman" w:cs="Times New Roman"/>
        </w:rPr>
        <w:t xml:space="preserve"> the qualifications of applicants for faculty positions who have significant professional experience in the field but who have not completed formal academic work in the discipl</w:t>
      </w:r>
      <w:r w:rsidR="005F155D" w:rsidRPr="008156C9">
        <w:rPr>
          <w:rFonts w:ascii="Times New Roman" w:eastAsia="Calibri" w:hAnsi="Times New Roman" w:cs="Times New Roman"/>
        </w:rPr>
        <w:t>ine and/or in general education</w:t>
      </w:r>
      <w:r w:rsidR="00726DD4" w:rsidRPr="008156C9">
        <w:rPr>
          <w:rFonts w:ascii="Times New Roman" w:eastAsia="Calibri" w:hAnsi="Times New Roman" w:cs="Times New Roman"/>
        </w:rPr>
        <w:t xml:space="preserve"> and report the outcomes by S</w:t>
      </w:r>
      <w:r w:rsidRPr="008156C9">
        <w:rPr>
          <w:rFonts w:ascii="Times New Roman" w:eastAsia="Calibri" w:hAnsi="Times New Roman" w:cs="Times New Roman"/>
        </w:rPr>
        <w:t>pring 2018.</w:t>
      </w:r>
    </w:p>
    <w:p w14:paraId="2A941C33" w14:textId="77777777" w:rsidR="006F4F03" w:rsidRPr="008156C9" w:rsidRDefault="006F4F03" w:rsidP="006F4F03">
      <w:pPr>
        <w:rPr>
          <w:rFonts w:ascii="Times New Roman" w:eastAsia="Calibri" w:hAnsi="Times New Roman" w:cs="Times New Roman"/>
        </w:rPr>
      </w:pPr>
    </w:p>
    <w:p w14:paraId="0F0A8F9F" w14:textId="0A1139FD"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Contact: Executive Committee</w:t>
      </w:r>
    </w:p>
    <w:p w14:paraId="2B79FD2B" w14:textId="77777777" w:rsidR="00917CFE" w:rsidRPr="008156C9" w:rsidRDefault="00917CFE" w:rsidP="00287CDA">
      <w:pPr>
        <w:rPr>
          <w:rFonts w:ascii="Times New Roman" w:eastAsia="Calibri" w:hAnsi="Times New Roman" w:cs="Times New Roman"/>
        </w:rPr>
      </w:pPr>
    </w:p>
    <w:p w14:paraId="3BB82D8A" w14:textId="77777777" w:rsidR="002E0719" w:rsidRPr="008156C9" w:rsidRDefault="002E0719" w:rsidP="002E0719">
      <w:pPr>
        <w:pStyle w:val="Heading1"/>
      </w:pPr>
      <w:bookmarkStart w:id="22" w:name="_Toc476514192"/>
      <w:r w:rsidRPr="008156C9">
        <w:t>11.0</w:t>
      </w:r>
      <w:r w:rsidRPr="008156C9">
        <w:tab/>
        <w:t>TECHNOLOGY</w:t>
      </w:r>
      <w:bookmarkEnd w:id="22"/>
    </w:p>
    <w:p w14:paraId="23B7E0F9" w14:textId="1B37DAD0" w:rsidR="002E0719" w:rsidRPr="008156C9" w:rsidRDefault="00C571A1" w:rsidP="002E0719">
      <w:pPr>
        <w:pStyle w:val="Heading2"/>
      </w:pPr>
      <w:bookmarkStart w:id="23" w:name="_Toc476514193"/>
      <w:r w:rsidRPr="008156C9">
        <w:t>*</w:t>
      </w:r>
      <w:r w:rsidR="002E0719" w:rsidRPr="008156C9">
        <w:t>11.0</w:t>
      </w:r>
      <w:r w:rsidR="004D4637" w:rsidRPr="008156C9">
        <w:t>1</w:t>
      </w:r>
      <w:r w:rsidR="002E0719" w:rsidRPr="008156C9">
        <w:tab/>
        <w:t>S17</w:t>
      </w:r>
      <w:r w:rsidR="002E0719" w:rsidRPr="008156C9">
        <w:tab/>
        <w:t>Using Savings from Adopting Canvas</w:t>
      </w:r>
      <w:bookmarkEnd w:id="23"/>
    </w:p>
    <w:p w14:paraId="0EC01569" w14:textId="77777777" w:rsidR="00717548" w:rsidRDefault="00717548" w:rsidP="002E0719">
      <w:pPr>
        <w:rPr>
          <w:rFonts w:ascii="Times New Roman" w:hAnsi="Times New Roman" w:cs="Times New Roman"/>
        </w:rPr>
      </w:pPr>
    </w:p>
    <w:p w14:paraId="603E8221" w14:textId="3979747D" w:rsidR="002E0719" w:rsidRPr="008156C9" w:rsidRDefault="002E0719" w:rsidP="002E0719">
      <w:pPr>
        <w:rPr>
          <w:rFonts w:ascii="Times New Roman" w:hAnsi="Times New Roman" w:cs="Times New Roman"/>
        </w:rPr>
      </w:pPr>
      <w:r w:rsidRPr="008156C9">
        <w:rPr>
          <w:rFonts w:ascii="Times New Roman" w:hAnsi="Times New Roman" w:cs="Times New Roman"/>
        </w:rPr>
        <w:t>Whereas, Resolution 12.04 F14 “Using Anticipated Savings from Adopting the Common Course Management System to Support Online Faculty Professional Development Needs”</w:t>
      </w:r>
      <w:r w:rsidRPr="008156C9">
        <w:rPr>
          <w:rStyle w:val="FootnoteReference"/>
          <w:rFonts w:ascii="Times New Roman" w:hAnsi="Times New Roman" w:cs="Times New Roman"/>
        </w:rPr>
        <w:footnoteReference w:id="8"/>
      </w:r>
      <w:r w:rsidRPr="008156C9">
        <w:rPr>
          <w:rFonts w:ascii="Times New Roman" w:hAnsi="Times New Roman" w:cs="Times New Roman"/>
        </w:rPr>
        <w:t xml:space="preserve"> urged “local senates and barg</w:t>
      </w:r>
      <w:r w:rsidR="003C461B" w:rsidRPr="008156C9">
        <w:rPr>
          <w:rFonts w:ascii="Times New Roman" w:hAnsi="Times New Roman" w:cs="Times New Roman"/>
        </w:rPr>
        <w:t>ain</w:t>
      </w:r>
      <w:r w:rsidRPr="008156C9">
        <w:rPr>
          <w:rFonts w:ascii="Times New Roman" w:hAnsi="Times New Roman" w:cs="Times New Roman"/>
        </w:rPr>
        <w:t xml:space="preserve">ing units to work with their administrations to ensure monetary savings from a district or college transitioning to a Common Course Management System (CCMS) be used primarily to support the professional development needs of distance education faculty making the transition to the new CCMS;” </w:t>
      </w:r>
    </w:p>
    <w:p w14:paraId="59130560" w14:textId="77777777" w:rsidR="002E0719" w:rsidRPr="008156C9" w:rsidRDefault="002E0719" w:rsidP="002E0719">
      <w:pPr>
        <w:rPr>
          <w:rFonts w:ascii="Times New Roman" w:hAnsi="Times New Roman" w:cs="Times New Roman"/>
        </w:rPr>
      </w:pPr>
    </w:p>
    <w:p w14:paraId="49C22877" w14:textId="1FBCC85E" w:rsidR="002E0719" w:rsidRPr="008156C9" w:rsidRDefault="002E0719" w:rsidP="002E0719">
      <w:pPr>
        <w:rPr>
          <w:rFonts w:ascii="Times New Roman" w:hAnsi="Times New Roman" w:cs="Times New Roman"/>
        </w:rPr>
      </w:pPr>
      <w:r w:rsidRPr="008156C9">
        <w:rPr>
          <w:rFonts w:ascii="Times New Roman" w:hAnsi="Times New Roman" w:cs="Times New Roman"/>
        </w:rPr>
        <w:t xml:space="preserve">Whereas, The Online Education Initiative (OEI) has adopted the Common Course Management System (CMS) Canvas for all distance education course offered though the OEI course exchange, OEI Exchange colleges are able to adopt Canvas at no cost for their Exchange and non-Exchange online course offerings, and </w:t>
      </w:r>
      <w:r w:rsidR="00717548">
        <w:rPr>
          <w:rFonts w:ascii="Times New Roman" w:hAnsi="Times New Roman" w:cs="Times New Roman"/>
        </w:rPr>
        <w:t>c</w:t>
      </w:r>
      <w:r w:rsidRPr="008156C9">
        <w:rPr>
          <w:rFonts w:ascii="Times New Roman" w:hAnsi="Times New Roman" w:cs="Times New Roman"/>
        </w:rPr>
        <w:t>olleges that are not participating in the OEI Exchange are able to adopt Canvas at a significant cost savings with 75% of the cos</w:t>
      </w:r>
      <w:r w:rsidR="00717548">
        <w:rPr>
          <w:rFonts w:ascii="Times New Roman" w:hAnsi="Times New Roman" w:cs="Times New Roman"/>
        </w:rPr>
        <w:t>t of Canvas paid for by the OEI</w:t>
      </w:r>
      <w:r w:rsidRPr="008156C9">
        <w:rPr>
          <w:rFonts w:ascii="Times New Roman" w:hAnsi="Times New Roman" w:cs="Times New Roman"/>
        </w:rPr>
        <w:t>;</w:t>
      </w:r>
    </w:p>
    <w:p w14:paraId="389728FC" w14:textId="77777777" w:rsidR="002E0719" w:rsidRPr="008156C9" w:rsidRDefault="002E0719" w:rsidP="002E0719">
      <w:pPr>
        <w:rPr>
          <w:rFonts w:ascii="Times New Roman" w:hAnsi="Times New Roman" w:cs="Times New Roman"/>
        </w:rPr>
      </w:pPr>
    </w:p>
    <w:p w14:paraId="1A0C1787" w14:textId="4C9182E9" w:rsidR="002E0719" w:rsidRPr="008156C9" w:rsidRDefault="002E0719" w:rsidP="002E0719">
      <w:pPr>
        <w:rPr>
          <w:rFonts w:ascii="Times New Roman" w:hAnsi="Times New Roman" w:cs="Times New Roman"/>
        </w:rPr>
      </w:pPr>
      <w:r w:rsidRPr="008156C9">
        <w:rPr>
          <w:rFonts w:ascii="Times New Roman" w:hAnsi="Times New Roman" w:cs="Times New Roman"/>
        </w:rPr>
        <w:t xml:space="preserve">Whereas, The </w:t>
      </w:r>
      <w:r w:rsidR="001C73BE" w:rsidRPr="008156C9">
        <w:rPr>
          <w:rFonts w:ascii="Times New Roman" w:hAnsi="Times New Roman" w:cs="Times New Roman"/>
        </w:rPr>
        <w:t xml:space="preserve">governor’s </w:t>
      </w:r>
      <w:r w:rsidRPr="008156C9">
        <w:rPr>
          <w:rFonts w:ascii="Times New Roman" w:hAnsi="Times New Roman" w:cs="Times New Roman"/>
        </w:rPr>
        <w:t xml:space="preserve">January 2017 budget proposal included $8 million annually and ongoing to fund Canvas as the CMS for the entire California Community College System; and </w:t>
      </w:r>
    </w:p>
    <w:p w14:paraId="5CEF508F" w14:textId="77777777" w:rsidR="002E0719" w:rsidRPr="008156C9" w:rsidRDefault="002E0719" w:rsidP="002E0719">
      <w:pPr>
        <w:rPr>
          <w:rFonts w:ascii="Times New Roman" w:hAnsi="Times New Roman" w:cs="Times New Roman"/>
        </w:rPr>
      </w:pPr>
    </w:p>
    <w:p w14:paraId="63F278D4" w14:textId="77777777" w:rsidR="002E0719" w:rsidRPr="008156C9" w:rsidRDefault="002E0719" w:rsidP="002E0719">
      <w:pPr>
        <w:rPr>
          <w:rFonts w:ascii="Times New Roman" w:hAnsi="Times New Roman" w:cs="Times New Roman"/>
        </w:rPr>
      </w:pPr>
      <w:r w:rsidRPr="008156C9">
        <w:rPr>
          <w:rFonts w:ascii="Times New Roman" w:hAnsi="Times New Roman" w:cs="Times New Roman"/>
        </w:rPr>
        <w:t xml:space="preserve">Whereas, Even though the State of California may pay for Canvas in its entirety for the foreseeable future, the ongoing funding for professional development as well as the maintenance, improvement, and expansion of the technology infrastructure needed to support Canvas remains as required ongoing funding; </w:t>
      </w:r>
    </w:p>
    <w:p w14:paraId="68125905" w14:textId="77777777" w:rsidR="002E0719" w:rsidRPr="008156C9" w:rsidRDefault="002E0719" w:rsidP="002E0719">
      <w:pPr>
        <w:rPr>
          <w:rFonts w:ascii="Times New Roman" w:hAnsi="Times New Roman" w:cs="Times New Roman"/>
        </w:rPr>
      </w:pPr>
    </w:p>
    <w:p w14:paraId="22EE0643" w14:textId="58028C39" w:rsidR="002E0719" w:rsidRPr="008156C9" w:rsidRDefault="002E0719" w:rsidP="002E0719">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strongly urge local senates to advocate to their administration </w:t>
      </w:r>
      <w:r w:rsidR="005546C4" w:rsidRPr="008156C9">
        <w:rPr>
          <w:rFonts w:ascii="Times New Roman" w:hAnsi="Times New Roman" w:cs="Times New Roman"/>
        </w:rPr>
        <w:t>that monetary savings resulting</w:t>
      </w:r>
      <w:r w:rsidRPr="008156C9">
        <w:rPr>
          <w:rFonts w:ascii="Times New Roman" w:hAnsi="Times New Roman" w:cs="Times New Roman"/>
        </w:rPr>
        <w:t xml:space="preserve"> direc</w:t>
      </w:r>
      <w:r w:rsidR="00A6618C" w:rsidRPr="008156C9">
        <w:rPr>
          <w:rFonts w:ascii="Times New Roman" w:hAnsi="Times New Roman" w:cs="Times New Roman"/>
        </w:rPr>
        <w:t>tly from the adoption of Canvas</w:t>
      </w:r>
      <w:r w:rsidRPr="008156C9">
        <w:rPr>
          <w:rFonts w:ascii="Times New Roman" w:hAnsi="Times New Roman" w:cs="Times New Roman"/>
        </w:rPr>
        <w:t xml:space="preserve"> be utilized to fund faculty professional development, as well as the ongoing maintenance, improvement, and necessary technology infrastructure for quality distance education programs. </w:t>
      </w:r>
    </w:p>
    <w:p w14:paraId="2072EBF8" w14:textId="77777777" w:rsidR="002E0719" w:rsidRPr="008156C9" w:rsidRDefault="002E0719" w:rsidP="002E0719">
      <w:pPr>
        <w:rPr>
          <w:rFonts w:ascii="Times New Roman" w:hAnsi="Times New Roman" w:cs="Times New Roman"/>
        </w:rPr>
      </w:pPr>
    </w:p>
    <w:p w14:paraId="73D34256" w14:textId="705B5A1A" w:rsidR="002E0719" w:rsidRPr="008156C9" w:rsidRDefault="002E0719" w:rsidP="002E0719">
      <w:pPr>
        <w:rPr>
          <w:rFonts w:ascii="Times New Roman" w:hAnsi="Times New Roman" w:cs="Times New Roman"/>
        </w:rPr>
      </w:pPr>
      <w:r w:rsidRPr="008156C9">
        <w:rPr>
          <w:rFonts w:ascii="Times New Roman" w:hAnsi="Times New Roman" w:cs="Times New Roman"/>
        </w:rPr>
        <w:t xml:space="preserve">Contact: LaTonya Parker, </w:t>
      </w:r>
      <w:r w:rsidR="00BB5256" w:rsidRPr="008156C9">
        <w:rPr>
          <w:rFonts w:ascii="Times New Roman" w:hAnsi="Times New Roman" w:cs="Times New Roman"/>
        </w:rPr>
        <w:t xml:space="preserve">Moreno Valley College, </w:t>
      </w:r>
      <w:r w:rsidRPr="008156C9">
        <w:rPr>
          <w:rFonts w:ascii="Times New Roman" w:hAnsi="Times New Roman" w:cs="Times New Roman"/>
        </w:rPr>
        <w:t xml:space="preserve">Online Education Committee </w:t>
      </w:r>
    </w:p>
    <w:p w14:paraId="70D7BF49" w14:textId="77777777" w:rsidR="003F5C79" w:rsidRPr="008156C9" w:rsidRDefault="003F5C79" w:rsidP="002E0719">
      <w:pPr>
        <w:rPr>
          <w:rFonts w:ascii="Times New Roman" w:hAnsi="Times New Roman" w:cs="Times New Roman"/>
        </w:rPr>
      </w:pPr>
    </w:p>
    <w:p w14:paraId="41EDB6D3" w14:textId="40C45D33" w:rsidR="00F81CF8" w:rsidRPr="008156C9" w:rsidRDefault="00C571A1" w:rsidP="00C571A1">
      <w:pPr>
        <w:pStyle w:val="Heading2"/>
      </w:pPr>
      <w:bookmarkStart w:id="24" w:name="_Toc476514194"/>
      <w:r w:rsidRPr="008156C9">
        <w:t>*</w:t>
      </w:r>
      <w:r w:rsidR="003F5C79" w:rsidRPr="008156C9">
        <w:t>11.02</w:t>
      </w:r>
      <w:r w:rsidR="003F5C79" w:rsidRPr="008156C9">
        <w:tab/>
        <w:t>S17</w:t>
      </w:r>
      <w:r w:rsidR="003F5C79" w:rsidRPr="008156C9">
        <w:tab/>
        <w:t>Expansion of the Online Course Exchange</w:t>
      </w:r>
      <w:bookmarkEnd w:id="24"/>
    </w:p>
    <w:p w14:paraId="285F80C3" w14:textId="77777777" w:rsidR="00717548" w:rsidRDefault="00717548" w:rsidP="00F81CF8">
      <w:pPr>
        <w:rPr>
          <w:rFonts w:ascii="Times New Roman" w:hAnsi="Times New Roman" w:cs="Times New Roman"/>
        </w:rPr>
      </w:pPr>
    </w:p>
    <w:p w14:paraId="578BA3D4" w14:textId="5D352119" w:rsidR="00F81CF8" w:rsidRPr="008156C9" w:rsidRDefault="00F81CF8" w:rsidP="00F81CF8">
      <w:pPr>
        <w:rPr>
          <w:rFonts w:ascii="Times New Roman" w:hAnsi="Times New Roman" w:cs="Times New Roman"/>
        </w:rPr>
      </w:pPr>
      <w:r w:rsidRPr="008156C9">
        <w:rPr>
          <w:rFonts w:ascii="Times New Roman" w:hAnsi="Times New Roman" w:cs="Times New Roman"/>
        </w:rPr>
        <w:t xml:space="preserve">Whereas, The 2013-2014 Budget Act enacted the </w:t>
      </w:r>
      <w:r w:rsidR="00141A96" w:rsidRPr="008156C9">
        <w:rPr>
          <w:rFonts w:ascii="Times New Roman" w:hAnsi="Times New Roman" w:cs="Times New Roman"/>
        </w:rPr>
        <w:t xml:space="preserve">governor’s </w:t>
      </w:r>
      <w:r w:rsidRPr="008156C9">
        <w:rPr>
          <w:rFonts w:ascii="Times New Roman" w:hAnsi="Times New Roman" w:cs="Times New Roman"/>
        </w:rPr>
        <w:t>Online Education Initiative to expand access to online education in the California Community College System and allocated $16.9 million for that purpose, and furthermore the Chancellor’s Office established the California Community College Online Education Initiative to realize this legislation through the creation of the Online Course Exchange (“Exchange”);</w:t>
      </w:r>
    </w:p>
    <w:p w14:paraId="2318DA6D" w14:textId="77777777" w:rsidR="00F81CF8" w:rsidRPr="008156C9" w:rsidRDefault="00F81CF8" w:rsidP="00F81CF8">
      <w:pPr>
        <w:rPr>
          <w:rFonts w:ascii="Times New Roman" w:hAnsi="Times New Roman" w:cs="Times New Roman"/>
        </w:rPr>
      </w:pPr>
    </w:p>
    <w:p w14:paraId="0B805C58" w14:textId="72DB7EAC" w:rsidR="00F81CF8" w:rsidRPr="008156C9" w:rsidRDefault="00F81CF8" w:rsidP="00F81CF8">
      <w:pPr>
        <w:rPr>
          <w:rFonts w:ascii="Times New Roman" w:hAnsi="Times New Roman" w:cs="Times New Roman"/>
        </w:rPr>
      </w:pPr>
      <w:r w:rsidRPr="008156C9">
        <w:rPr>
          <w:rFonts w:ascii="Times New Roman" w:hAnsi="Times New Roman" w:cs="Times New Roman"/>
        </w:rPr>
        <w:t>Whereas, The Exchange promises to allow students to enroll in high quality online courses from colleges across the state through a centralized exchange, with potential for great benefit and opportunities for our students by providing additional access to courses needed for transfer and degree completion, and the 2016-2017 Budget Act (AB 1602) appropriated an additional $20,000,000 to “expedite and enhance the adaptation and development of courses that are available through the online course exchange of the Online Education Initiative”</w:t>
      </w:r>
      <w:r w:rsidR="005954C1" w:rsidRPr="008156C9">
        <w:rPr>
          <w:rFonts w:ascii="Times New Roman" w:hAnsi="Times New Roman" w:cs="Times New Roman"/>
        </w:rPr>
        <w:t>;</w:t>
      </w:r>
    </w:p>
    <w:p w14:paraId="56636027" w14:textId="77777777" w:rsidR="00F81CF8" w:rsidRPr="008156C9" w:rsidRDefault="00F81CF8" w:rsidP="00F81CF8">
      <w:pPr>
        <w:rPr>
          <w:rFonts w:ascii="Times New Roman" w:hAnsi="Times New Roman" w:cs="Times New Roman"/>
        </w:rPr>
      </w:pPr>
    </w:p>
    <w:p w14:paraId="3D6C9D3F" w14:textId="4796AE39" w:rsidR="00F81CF8" w:rsidRPr="008156C9" w:rsidRDefault="00F81CF8" w:rsidP="00F81CF8">
      <w:pPr>
        <w:rPr>
          <w:rFonts w:ascii="Times New Roman" w:hAnsi="Times New Roman" w:cs="Times New Roman"/>
        </w:rPr>
      </w:pPr>
      <w:r w:rsidRPr="008156C9">
        <w:rPr>
          <w:rFonts w:ascii="Times New Roman" w:hAnsi="Times New Roman" w:cs="Times New Roman"/>
        </w:rPr>
        <w:t>Whereas, It is important that efforts to expand the courses offered and colleges participating in the Exchange not compromise course quality or instructional integrity and that practices and policies focus on increasing student access and success across the system;</w:t>
      </w:r>
      <w:r w:rsidR="005954C1" w:rsidRPr="008156C9">
        <w:rPr>
          <w:rFonts w:ascii="Times New Roman" w:hAnsi="Times New Roman" w:cs="Times New Roman"/>
        </w:rPr>
        <w:t xml:space="preserve"> and</w:t>
      </w:r>
    </w:p>
    <w:p w14:paraId="0AD95501" w14:textId="77777777" w:rsidR="00F81CF8" w:rsidRPr="008156C9" w:rsidRDefault="00F81CF8" w:rsidP="00F81CF8">
      <w:pPr>
        <w:rPr>
          <w:rFonts w:ascii="Times New Roman" w:hAnsi="Times New Roman" w:cs="Times New Roman"/>
        </w:rPr>
      </w:pPr>
    </w:p>
    <w:p w14:paraId="4E9EB60B" w14:textId="77777777" w:rsidR="00F81CF8" w:rsidRPr="008156C9" w:rsidRDefault="00F81CF8" w:rsidP="00F81CF8">
      <w:pPr>
        <w:rPr>
          <w:rFonts w:ascii="Times New Roman" w:hAnsi="Times New Roman" w:cs="Times New Roman"/>
        </w:rPr>
      </w:pPr>
      <w:r w:rsidRPr="008156C9">
        <w:rPr>
          <w:rFonts w:ascii="Times New Roman" w:hAnsi="Times New Roman" w:cs="Times New Roman"/>
        </w:rPr>
        <w:t xml:space="preserve">Whereas, The Academic Senate for California Community Colleges is the collective faculty voice on academic and professional matters statewide and has long provided leadership for faculty on distance education matters through its position papers, resolutions, </w:t>
      </w:r>
      <w:r w:rsidRPr="00717548">
        <w:rPr>
          <w:rFonts w:ascii="Times New Roman" w:hAnsi="Times New Roman" w:cs="Times New Roman"/>
          <w:i/>
        </w:rPr>
        <w:t>Rostrum</w:t>
      </w:r>
      <w:r w:rsidRPr="008156C9">
        <w:rPr>
          <w:rFonts w:ascii="Times New Roman" w:hAnsi="Times New Roman" w:cs="Times New Roman"/>
        </w:rPr>
        <w:t xml:space="preserve"> articles and presentations; </w:t>
      </w:r>
    </w:p>
    <w:p w14:paraId="39BAA40E" w14:textId="77777777" w:rsidR="00F81CF8" w:rsidRPr="008156C9" w:rsidRDefault="00F81CF8" w:rsidP="00F81CF8">
      <w:pPr>
        <w:rPr>
          <w:rFonts w:ascii="Times New Roman" w:hAnsi="Times New Roman" w:cs="Times New Roman"/>
          <w:color w:val="574C45"/>
        </w:rPr>
      </w:pPr>
    </w:p>
    <w:p w14:paraId="483481AE" w14:textId="2BA1C7BF" w:rsidR="00F81CF8" w:rsidRPr="008156C9" w:rsidRDefault="00F81CF8" w:rsidP="00F81CF8">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remind the Online Education Initiative </w:t>
      </w:r>
      <w:r w:rsidR="00A12D27" w:rsidRPr="008156C9">
        <w:rPr>
          <w:rFonts w:ascii="Times New Roman" w:hAnsi="Times New Roman" w:cs="Times New Roman"/>
        </w:rPr>
        <w:t xml:space="preserve">(OEI) </w:t>
      </w:r>
      <w:r w:rsidRPr="008156C9">
        <w:rPr>
          <w:rFonts w:ascii="Times New Roman" w:hAnsi="Times New Roman" w:cs="Times New Roman"/>
        </w:rPr>
        <w:t xml:space="preserve">that faculty primacy in academic and professional matters applies to curriculum and academic standards, which includes the academic standards for development and offering of courses for the Exchange, and that any decisions directly impacting courses need to be made in consultation with the OEI Steering Committee and with input from the </w:t>
      </w:r>
      <w:r w:rsidR="003C25ED" w:rsidRPr="008156C9">
        <w:rPr>
          <w:rFonts w:ascii="Times New Roman" w:hAnsi="Times New Roman" w:cs="Times New Roman"/>
        </w:rPr>
        <w:t xml:space="preserve">OEI </w:t>
      </w:r>
      <w:r w:rsidRPr="008156C9">
        <w:rPr>
          <w:rFonts w:ascii="Times New Roman" w:hAnsi="Times New Roman" w:cs="Times New Roman"/>
        </w:rPr>
        <w:t>Consortium;</w:t>
      </w:r>
    </w:p>
    <w:p w14:paraId="215FCCD3" w14:textId="77777777" w:rsidR="00F81CF8" w:rsidRPr="008156C9" w:rsidRDefault="00F81CF8" w:rsidP="00F81CF8">
      <w:pPr>
        <w:rPr>
          <w:rFonts w:ascii="Times New Roman" w:hAnsi="Times New Roman" w:cs="Times New Roman"/>
        </w:rPr>
      </w:pPr>
    </w:p>
    <w:p w14:paraId="7341819B" w14:textId="1DBE6127" w:rsidR="00F81CF8" w:rsidRPr="008156C9" w:rsidRDefault="00F81CF8" w:rsidP="00F81CF8">
      <w:pPr>
        <w:rPr>
          <w:rFonts w:ascii="Times New Roman" w:hAnsi="Times New Roman" w:cs="Times New Roman"/>
        </w:rPr>
      </w:pPr>
      <w:r w:rsidRPr="008156C9">
        <w:rPr>
          <w:rFonts w:ascii="Times New Roman" w:hAnsi="Times New Roman" w:cs="Times New Roman"/>
        </w:rPr>
        <w:t>Resolved, That the Academic Senate for California Community Colleges insist that high standards, including review of courses by trained faculty reviewers and determination of alignment with the OEI Course Design Rubric by those same faculty reviewers, remain in place to ensure that courses offered on the Exchange are of superior quality, of appropriate rigor, and offered and supported locally prior to being offered on the Exchange; and</w:t>
      </w:r>
    </w:p>
    <w:p w14:paraId="33161809" w14:textId="77777777" w:rsidR="00F81CF8" w:rsidRPr="008156C9" w:rsidRDefault="00F81CF8" w:rsidP="00F81CF8">
      <w:pPr>
        <w:rPr>
          <w:rFonts w:ascii="Times New Roman" w:hAnsi="Times New Roman" w:cs="Times New Roman"/>
        </w:rPr>
      </w:pPr>
    </w:p>
    <w:p w14:paraId="71A4ED81" w14:textId="77777777" w:rsidR="00F81CF8" w:rsidRPr="008156C9" w:rsidRDefault="00F81CF8" w:rsidP="00F81CF8">
      <w:pPr>
        <w:rPr>
          <w:rFonts w:ascii="Times New Roman" w:hAnsi="Times New Roman" w:cs="Times New Roman"/>
        </w:rPr>
      </w:pPr>
      <w:r w:rsidRPr="008156C9">
        <w:rPr>
          <w:rFonts w:ascii="Times New Roman" w:hAnsi="Times New Roman" w:cs="Times New Roman"/>
        </w:rPr>
        <w:t>Resolved, That the Academic Senate for California Community Colleges work with the Online Education Initiative to develop enrollment management criteria for managing the number of courses individual colleges have on the Exchange and managing the selection of courses offered on the Exchange.</w:t>
      </w:r>
    </w:p>
    <w:p w14:paraId="1FD2542D" w14:textId="77777777" w:rsidR="003F5C79" w:rsidRPr="008156C9" w:rsidRDefault="003F5C79" w:rsidP="002E0719">
      <w:pPr>
        <w:rPr>
          <w:rFonts w:ascii="Times New Roman" w:hAnsi="Times New Roman" w:cs="Times New Roman"/>
        </w:rPr>
      </w:pPr>
    </w:p>
    <w:p w14:paraId="467252FF" w14:textId="2BBDDAA8" w:rsidR="00F81CF8" w:rsidRPr="008156C9" w:rsidRDefault="00F81CF8" w:rsidP="002E0719">
      <w:pPr>
        <w:rPr>
          <w:rFonts w:ascii="Times New Roman" w:hAnsi="Times New Roman" w:cs="Times New Roman"/>
        </w:rPr>
      </w:pPr>
      <w:r w:rsidRPr="008156C9">
        <w:rPr>
          <w:rFonts w:ascii="Times New Roman" w:hAnsi="Times New Roman" w:cs="Times New Roman"/>
        </w:rPr>
        <w:t>Contact: Cheryl Aschenbach, Executive Committee</w:t>
      </w:r>
    </w:p>
    <w:p w14:paraId="078539A9" w14:textId="77777777" w:rsidR="006F4F03" w:rsidRPr="008156C9" w:rsidRDefault="006F4F03" w:rsidP="00C571A1">
      <w:pPr>
        <w:rPr>
          <w:rFonts w:ascii="Times New Roman" w:hAnsi="Times New Roman" w:cs="Times New Roman"/>
        </w:rPr>
      </w:pPr>
    </w:p>
    <w:p w14:paraId="7459AB41" w14:textId="77777777" w:rsidR="00FC5B00" w:rsidRPr="008156C9" w:rsidRDefault="00FC5B00" w:rsidP="00FC5B00">
      <w:pPr>
        <w:pStyle w:val="Heading1"/>
      </w:pPr>
      <w:bookmarkStart w:id="25" w:name="_Toc476514195"/>
      <w:r w:rsidRPr="008156C9">
        <w:t>17.0</w:t>
      </w:r>
      <w:r w:rsidRPr="008156C9">
        <w:tab/>
        <w:t>LOCAL SENATES</w:t>
      </w:r>
      <w:bookmarkEnd w:id="25"/>
    </w:p>
    <w:p w14:paraId="2F0BD5D9" w14:textId="43F5608B" w:rsidR="00FC5B00" w:rsidRDefault="00115E4E" w:rsidP="00FC5B00">
      <w:pPr>
        <w:pStyle w:val="Heading2"/>
      </w:pPr>
      <w:bookmarkStart w:id="26" w:name="_Toc476514196"/>
      <w:r w:rsidRPr="008156C9">
        <w:t>*</w:t>
      </w:r>
      <w:r w:rsidR="00FC5B00" w:rsidRPr="008156C9">
        <w:t>17.01</w:t>
      </w:r>
      <w:r w:rsidR="00FC5B00" w:rsidRPr="008156C9">
        <w:tab/>
        <w:t>S17</w:t>
      </w:r>
      <w:r w:rsidR="00FC5B00" w:rsidRPr="008156C9">
        <w:tab/>
        <w:t>Local President Sign-off on Grants and Initiative Plans</w:t>
      </w:r>
      <w:bookmarkEnd w:id="26"/>
    </w:p>
    <w:p w14:paraId="4300EBF0" w14:textId="77777777" w:rsidR="008240A5" w:rsidRPr="008240A5" w:rsidRDefault="008240A5" w:rsidP="008240A5"/>
    <w:p w14:paraId="7417BBC6" w14:textId="44CD7AE0"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Whereas, The Governor of California and state legislature have been instrumental in producing legislation that has transformed and continues to transform educational standards in the California Community College System, such as the Institutional Effective Partnership Initiative (IEPI), Strong Workforce Program (SB 66, 2016/Leyva), Adult Education/Non-Credit Initiative (AB86, Education Omnibus Trailer Bill, 2013-2014) and Student Success and Support Programs (SSSP) Initiative (SB1456, 2012/</w:t>
      </w:r>
      <w:proofErr w:type="spellStart"/>
      <w:r w:rsidRPr="008156C9">
        <w:rPr>
          <w:rFonts w:ascii="Times New Roman" w:hAnsi="Times New Roman" w:cs="Times New Roman"/>
        </w:rPr>
        <w:t>Lowenthal</w:t>
      </w:r>
      <w:proofErr w:type="spellEnd"/>
      <w:r w:rsidRPr="008156C9">
        <w:rPr>
          <w:rFonts w:ascii="Times New Roman" w:hAnsi="Times New Roman" w:cs="Times New Roman"/>
        </w:rPr>
        <w:t xml:space="preserve">), and other special grants such as Zero Cost Textbook Degree (AB798, 2012/Bonilla); </w:t>
      </w:r>
    </w:p>
    <w:p w14:paraId="4D8B81E1"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w:t>
      </w:r>
    </w:p>
    <w:p w14:paraId="7C0284C1"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xml:space="preserve">Whereas, These state initiatives, programs, and grant proposals involve many academic and professional matters under faculty purview including student success, processes for program review, curriculum development, institutional planning, budget development and more; </w:t>
      </w:r>
    </w:p>
    <w:p w14:paraId="07ABCF29"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w:t>
      </w:r>
    </w:p>
    <w:p w14:paraId="653712DC"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Whereas, Districts and colleges have well-established processes for ensuring that decision-making is a participatory process and that faculty have primacy in making recommendations related to academic and professional matters; and</w:t>
      </w:r>
    </w:p>
    <w:p w14:paraId="0CDB8041"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w:t>
      </w:r>
    </w:p>
    <w:p w14:paraId="5BD3FA87"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Whereas, The timeline for participation in these initiatives, programs, and grants are frequently hurried and do not allow for the collegial consultation process to occur;</w:t>
      </w:r>
    </w:p>
    <w:p w14:paraId="6E3F00BB"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w:t>
      </w:r>
    </w:p>
    <w:p w14:paraId="020BF129"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xml:space="preserve">Resolved, That the Academic Senate for California Community Colleges urge local senates to remain vigilant in their contributions to and review of grants, programs, and initiatives that fall under the purview of academic and professional matters; and </w:t>
      </w:r>
    </w:p>
    <w:p w14:paraId="1F2F62AD" w14:textId="77777777" w:rsidR="00FC5B00" w:rsidRPr="008156C9" w:rsidRDefault="00FC5B00" w:rsidP="00FC5B00">
      <w:pPr>
        <w:widowControl w:val="0"/>
        <w:autoSpaceDE w:val="0"/>
        <w:autoSpaceDN w:val="0"/>
        <w:adjustRightInd w:val="0"/>
        <w:rPr>
          <w:rFonts w:ascii="Times New Roman" w:hAnsi="Times New Roman" w:cs="Times New Roman"/>
        </w:rPr>
      </w:pPr>
    </w:p>
    <w:p w14:paraId="77E943D7" w14:textId="11F91E70"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Resolved, That the Academic Senate for Californ</w:t>
      </w:r>
      <w:r w:rsidR="001C59B1" w:rsidRPr="008156C9">
        <w:rPr>
          <w:rFonts w:ascii="Times New Roman" w:hAnsi="Times New Roman" w:cs="Times New Roman"/>
        </w:rPr>
        <w:t>ia Community Colleges urge the</w:t>
      </w:r>
      <w:r w:rsidR="007E6613" w:rsidRPr="008156C9">
        <w:rPr>
          <w:rFonts w:ascii="Times New Roman" w:hAnsi="Times New Roman" w:cs="Times New Roman"/>
        </w:rPr>
        <w:t xml:space="preserve"> Chancellor’s O</w:t>
      </w:r>
      <w:r w:rsidRPr="008156C9">
        <w:rPr>
          <w:rFonts w:ascii="Times New Roman" w:hAnsi="Times New Roman" w:cs="Times New Roman"/>
        </w:rPr>
        <w:t>ffice to include mechanisms, including a local academic senate signoff, that ensure local senate involvement in and approval of all grants, programs, and initiatives that fall under the purview of academic and professional matters.</w:t>
      </w:r>
    </w:p>
    <w:p w14:paraId="2366987F" w14:textId="77777777" w:rsidR="006D279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w:t>
      </w:r>
    </w:p>
    <w:p w14:paraId="3B01FD68" w14:textId="31F4FD34"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xml:space="preserve">Contact: Rebecca </w:t>
      </w:r>
      <w:proofErr w:type="spellStart"/>
      <w:r w:rsidRPr="008156C9">
        <w:rPr>
          <w:rFonts w:ascii="Times New Roman" w:hAnsi="Times New Roman" w:cs="Times New Roman"/>
        </w:rPr>
        <w:t>Eikey</w:t>
      </w:r>
      <w:proofErr w:type="spellEnd"/>
      <w:r w:rsidRPr="008156C9">
        <w:rPr>
          <w:rFonts w:ascii="Times New Roman" w:hAnsi="Times New Roman" w:cs="Times New Roman"/>
        </w:rPr>
        <w:t>, College of the Canyons, and the Legislative Action Committee</w:t>
      </w:r>
    </w:p>
    <w:p w14:paraId="56635792"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w:t>
      </w:r>
    </w:p>
    <w:p w14:paraId="4E131BBC" w14:textId="0017D259" w:rsidR="00126D2C" w:rsidRPr="008156C9" w:rsidRDefault="00115E4E" w:rsidP="00126D2C">
      <w:pPr>
        <w:pStyle w:val="Heading2"/>
        <w:jc w:val="left"/>
      </w:pPr>
      <w:bookmarkStart w:id="27" w:name="_Toc476514197"/>
      <w:r w:rsidRPr="008156C9">
        <w:t>*</w:t>
      </w:r>
      <w:r w:rsidR="00126D2C" w:rsidRPr="008156C9">
        <w:t>17.02</w:t>
      </w:r>
      <w:r w:rsidR="00126D2C" w:rsidRPr="008156C9">
        <w:tab/>
        <w:t xml:space="preserve">S17 </w:t>
      </w:r>
      <w:r w:rsidR="008240A5">
        <w:tab/>
      </w:r>
      <w:r w:rsidR="00126D2C" w:rsidRPr="008156C9">
        <w:t xml:space="preserve">Adequate Support and a Designated Point Person for Formerly Incarcerated </w:t>
      </w:r>
      <w:r w:rsidR="008240A5">
        <w:tab/>
      </w:r>
      <w:r w:rsidR="008240A5">
        <w:tab/>
      </w:r>
      <w:r w:rsidR="008240A5">
        <w:tab/>
      </w:r>
      <w:r w:rsidR="00126D2C" w:rsidRPr="008156C9">
        <w:t>Students</w:t>
      </w:r>
      <w:bookmarkEnd w:id="27"/>
      <w:r w:rsidR="00126D2C" w:rsidRPr="008156C9">
        <w:t xml:space="preserve"> </w:t>
      </w:r>
    </w:p>
    <w:p w14:paraId="4E1BDCC7" w14:textId="19EFCE3A" w:rsidR="00126D2C" w:rsidRPr="008156C9" w:rsidRDefault="00126D2C" w:rsidP="00126D2C">
      <w:pPr>
        <w:rPr>
          <w:rFonts w:ascii="Times New Roman" w:hAnsi="Times New Roman" w:cs="Times New Roman"/>
        </w:rPr>
      </w:pPr>
      <w:r w:rsidRPr="008156C9">
        <w:rPr>
          <w:rFonts w:ascii="Times New Roman" w:hAnsi="Times New Roman" w:cs="Times New Roman"/>
        </w:rPr>
        <w:t>Whereas, SB1391 (2014, Hancock) increased the California community college course offerings inside state prisons so that California community colleges are now teaching in-person in 32 of the state’s 35 correctional facilities</w:t>
      </w:r>
      <w:r w:rsidR="00483665">
        <w:rPr>
          <w:rFonts w:ascii="Times New Roman" w:hAnsi="Times New Roman" w:cs="Times New Roman"/>
        </w:rPr>
        <w:t>;</w:t>
      </w:r>
    </w:p>
    <w:p w14:paraId="1DF1A433" w14:textId="77777777" w:rsidR="00126D2C" w:rsidRPr="008156C9" w:rsidRDefault="00126D2C" w:rsidP="00126D2C">
      <w:pPr>
        <w:rPr>
          <w:rFonts w:ascii="Times New Roman" w:hAnsi="Times New Roman" w:cs="Times New Roman"/>
        </w:rPr>
      </w:pPr>
    </w:p>
    <w:p w14:paraId="5A34ED33" w14:textId="27E2FBCE" w:rsidR="00126D2C" w:rsidRPr="008156C9" w:rsidRDefault="00126D2C" w:rsidP="00126D2C">
      <w:pPr>
        <w:rPr>
          <w:rFonts w:ascii="Times New Roman" w:hAnsi="Times New Roman" w:cs="Times New Roman"/>
        </w:rPr>
      </w:pPr>
      <w:r w:rsidRPr="008156C9">
        <w:rPr>
          <w:rFonts w:ascii="Times New Roman" w:hAnsi="Times New Roman" w:cs="Times New Roman"/>
        </w:rPr>
        <w:t>Whereas, Proposition 57 (2016) will increase the number of individuals being released from state correctional facilities, and will prioritize those individuals who are pursuing college courses while incarcerated;</w:t>
      </w:r>
    </w:p>
    <w:p w14:paraId="3B7CB1F7" w14:textId="77777777" w:rsidR="00126D2C" w:rsidRPr="008156C9" w:rsidRDefault="00126D2C" w:rsidP="00126D2C">
      <w:pPr>
        <w:rPr>
          <w:rFonts w:ascii="Times New Roman" w:hAnsi="Times New Roman" w:cs="Times New Roman"/>
        </w:rPr>
      </w:pPr>
    </w:p>
    <w:p w14:paraId="39C434E9" w14:textId="77777777" w:rsidR="00126D2C" w:rsidRPr="008156C9" w:rsidRDefault="00126D2C" w:rsidP="00126D2C">
      <w:pPr>
        <w:rPr>
          <w:rFonts w:ascii="Times New Roman" w:hAnsi="Times New Roman" w:cs="Times New Roman"/>
        </w:rPr>
      </w:pPr>
      <w:r w:rsidRPr="008156C9">
        <w:rPr>
          <w:rFonts w:ascii="Times New Roman" w:hAnsi="Times New Roman" w:cs="Times New Roman"/>
        </w:rPr>
        <w:t xml:space="preserve">Whereas, Individuals being released are encouraged to continue their pursuit of higher education when they return to their communities; and </w:t>
      </w:r>
    </w:p>
    <w:p w14:paraId="372EA2DD" w14:textId="77777777" w:rsidR="00126D2C" w:rsidRPr="008156C9" w:rsidRDefault="00126D2C" w:rsidP="00126D2C">
      <w:pPr>
        <w:rPr>
          <w:rFonts w:ascii="Times New Roman" w:hAnsi="Times New Roman" w:cs="Times New Roman"/>
        </w:rPr>
      </w:pPr>
    </w:p>
    <w:p w14:paraId="132AD86C" w14:textId="77777777" w:rsidR="00126D2C" w:rsidRPr="008156C9" w:rsidRDefault="00126D2C" w:rsidP="00126D2C">
      <w:pPr>
        <w:rPr>
          <w:rFonts w:ascii="Times New Roman" w:hAnsi="Times New Roman" w:cs="Times New Roman"/>
        </w:rPr>
      </w:pPr>
      <w:r w:rsidRPr="008156C9">
        <w:rPr>
          <w:rFonts w:ascii="Times New Roman" w:hAnsi="Times New Roman" w:cs="Times New Roman"/>
        </w:rPr>
        <w:t xml:space="preserve">Whereas, Formerly incarcerated students, like other special populations of students, face dramatic obstacles to accessing college service and academic programs without intentional direct support and outreach; </w:t>
      </w:r>
    </w:p>
    <w:p w14:paraId="6DBD5C6E" w14:textId="77777777" w:rsidR="00126D2C" w:rsidRPr="008156C9" w:rsidRDefault="00126D2C" w:rsidP="00126D2C">
      <w:pPr>
        <w:rPr>
          <w:rFonts w:ascii="Times New Roman" w:hAnsi="Times New Roman" w:cs="Times New Roman"/>
        </w:rPr>
      </w:pPr>
    </w:p>
    <w:p w14:paraId="148FE6D1" w14:textId="5B7CEE6D" w:rsidR="00126D2C" w:rsidRPr="008156C9" w:rsidRDefault="00126D2C" w:rsidP="00126D2C">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recommend that local senates work with their college administrators to designate and publicize </w:t>
      </w:r>
      <w:r w:rsidR="009A0E29" w:rsidRPr="008156C9">
        <w:rPr>
          <w:rFonts w:ascii="Times New Roman" w:hAnsi="Times New Roman" w:cs="Times New Roman"/>
        </w:rPr>
        <w:t xml:space="preserve">a </w:t>
      </w:r>
      <w:r w:rsidR="00191C4D" w:rsidRPr="008156C9">
        <w:rPr>
          <w:rFonts w:ascii="Times New Roman" w:hAnsi="Times New Roman" w:cs="Times New Roman"/>
        </w:rPr>
        <w:t>point of contact</w:t>
      </w:r>
      <w:r w:rsidRPr="008156C9">
        <w:rPr>
          <w:rFonts w:ascii="Times New Roman" w:hAnsi="Times New Roman" w:cs="Times New Roman"/>
        </w:rPr>
        <w:t xml:space="preserve"> responsible for supporting formerly incarcerated students and helping those students connect with appropriate support services at the college; and </w:t>
      </w:r>
    </w:p>
    <w:p w14:paraId="6F96A754" w14:textId="77777777" w:rsidR="00126D2C" w:rsidRPr="008156C9" w:rsidRDefault="00126D2C" w:rsidP="00126D2C">
      <w:pPr>
        <w:rPr>
          <w:rFonts w:ascii="Times New Roman" w:hAnsi="Times New Roman" w:cs="Times New Roman"/>
        </w:rPr>
      </w:pPr>
    </w:p>
    <w:p w14:paraId="019E45B1" w14:textId="7859E3F0" w:rsidR="00126D2C" w:rsidRPr="008156C9" w:rsidRDefault="00126D2C" w:rsidP="00126D2C">
      <w:pPr>
        <w:rPr>
          <w:rFonts w:ascii="Times New Roman" w:hAnsi="Times New Roman" w:cs="Times New Roman"/>
        </w:rPr>
      </w:pPr>
      <w:r w:rsidRPr="008156C9">
        <w:rPr>
          <w:rFonts w:ascii="Times New Roman" w:hAnsi="Times New Roman" w:cs="Times New Roman"/>
        </w:rPr>
        <w:t>Resolved, That the Academic Senate for California Community Colleges work with the Chancellor’s Office to assist colleges in their efforts to support formerly incarcerated students</w:t>
      </w:r>
      <w:r w:rsidR="00633362" w:rsidRPr="008156C9">
        <w:rPr>
          <w:rFonts w:ascii="Times New Roman" w:hAnsi="Times New Roman" w:cs="Times New Roman"/>
        </w:rPr>
        <w:t xml:space="preserve"> to</w:t>
      </w:r>
      <w:r w:rsidRPr="008156C9">
        <w:rPr>
          <w:rFonts w:ascii="Times New Roman" w:hAnsi="Times New Roman" w:cs="Times New Roman"/>
        </w:rPr>
        <w:t xml:space="preserve"> access college programs and </w:t>
      </w:r>
      <w:r w:rsidR="00633362" w:rsidRPr="008156C9">
        <w:rPr>
          <w:rFonts w:ascii="Times New Roman" w:hAnsi="Times New Roman" w:cs="Times New Roman"/>
        </w:rPr>
        <w:t xml:space="preserve">to </w:t>
      </w:r>
      <w:r w:rsidRPr="008156C9">
        <w:rPr>
          <w:rFonts w:ascii="Times New Roman" w:hAnsi="Times New Roman" w:cs="Times New Roman"/>
        </w:rPr>
        <w:t>achieve their academic goals at the college.</w:t>
      </w:r>
    </w:p>
    <w:p w14:paraId="2FE45AAA" w14:textId="77777777" w:rsidR="00126D2C" w:rsidRPr="008156C9" w:rsidRDefault="00126D2C" w:rsidP="00126D2C">
      <w:pPr>
        <w:rPr>
          <w:rFonts w:ascii="Times New Roman" w:hAnsi="Times New Roman" w:cs="Times New Roman"/>
        </w:rPr>
      </w:pPr>
    </w:p>
    <w:p w14:paraId="24183D8C" w14:textId="120F6C77" w:rsidR="00FC5B00" w:rsidRPr="008156C9" w:rsidRDefault="00126D2C" w:rsidP="00C25C90">
      <w:pPr>
        <w:rPr>
          <w:rFonts w:ascii="Times New Roman" w:hAnsi="Times New Roman" w:cs="Times New Roman"/>
        </w:rPr>
      </w:pPr>
      <w:r w:rsidRPr="008156C9">
        <w:rPr>
          <w:rFonts w:ascii="Times New Roman" w:hAnsi="Times New Roman" w:cs="Times New Roman"/>
        </w:rPr>
        <w:t>Contact: Cleavon Smith, Executive Committee</w:t>
      </w:r>
    </w:p>
    <w:sectPr w:rsidR="00FC5B00" w:rsidRPr="008156C9" w:rsidSect="00B923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B801A" w14:textId="77777777" w:rsidR="005142F2" w:rsidRDefault="005142F2" w:rsidP="00F21902">
      <w:r>
        <w:separator/>
      </w:r>
    </w:p>
  </w:endnote>
  <w:endnote w:type="continuationSeparator" w:id="0">
    <w:p w14:paraId="18836C2D" w14:textId="77777777" w:rsidR="005142F2" w:rsidRDefault="005142F2" w:rsidP="00F2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Yu Mincho">
    <w:charset w:val="80"/>
    <w:family w:val="auto"/>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50176" w14:textId="77777777" w:rsidR="005142F2" w:rsidRDefault="005142F2" w:rsidP="00F21902">
      <w:r>
        <w:separator/>
      </w:r>
    </w:p>
  </w:footnote>
  <w:footnote w:type="continuationSeparator" w:id="0">
    <w:p w14:paraId="4609B099" w14:textId="77777777" w:rsidR="005142F2" w:rsidRDefault="005142F2" w:rsidP="00F21902">
      <w:r>
        <w:continuationSeparator/>
      </w:r>
    </w:p>
  </w:footnote>
  <w:footnote w:id="1">
    <w:p w14:paraId="6BFA3B6C" w14:textId="70B8A3DC" w:rsidR="002334B0" w:rsidRDefault="002334B0">
      <w:pPr>
        <w:pStyle w:val="FootnoteText"/>
      </w:pPr>
      <w:r>
        <w:rPr>
          <w:rStyle w:val="FootnoteReference"/>
        </w:rPr>
        <w:footnoteRef/>
      </w:r>
      <w:r>
        <w:t xml:space="preserve"> </w:t>
      </w:r>
      <w:hyperlink r:id="rId1" w:history="1">
        <w:r w:rsidRPr="00240A70">
          <w:rPr>
            <w:rStyle w:val="Hyperlink"/>
          </w:rPr>
          <w:t>http://asccc.org/papers/re-examination-faculty-hiring-processes-and-procedures</w:t>
        </w:r>
      </w:hyperlink>
      <w:r>
        <w:t xml:space="preserve"> </w:t>
      </w:r>
    </w:p>
  </w:footnote>
  <w:footnote w:id="2">
    <w:p w14:paraId="5A9B9651" w14:textId="3C28AD05" w:rsidR="002334B0" w:rsidRDefault="002334B0">
      <w:pPr>
        <w:pStyle w:val="FootnoteText"/>
      </w:pPr>
      <w:r>
        <w:rPr>
          <w:rStyle w:val="FootnoteReference"/>
        </w:rPr>
        <w:footnoteRef/>
      </w:r>
      <w:r>
        <w:t xml:space="preserve"> </w:t>
      </w:r>
      <w:hyperlink r:id="rId2" w:history="1">
        <w:r w:rsidRPr="00240A70">
          <w:rPr>
            <w:rStyle w:val="Hyperlink"/>
          </w:rPr>
          <w:t>http://californiacommunitycolleges.cccco.edu/Portals/0/Reports/2016-EEO-and-Diversity-Handbook-ADA.pdf</w:t>
        </w:r>
      </w:hyperlink>
      <w:r>
        <w:t xml:space="preserve"> </w:t>
      </w:r>
    </w:p>
  </w:footnote>
  <w:footnote w:id="3">
    <w:p w14:paraId="73A0D968" w14:textId="77777777" w:rsidR="002334B0" w:rsidRDefault="002334B0" w:rsidP="00AF069A">
      <w:pPr>
        <w:pStyle w:val="FootnoteText"/>
      </w:pPr>
      <w:r>
        <w:rPr>
          <w:rStyle w:val="FootnoteReference"/>
        </w:rPr>
        <w:footnoteRef/>
      </w:r>
      <w:r>
        <w:t xml:space="preserve"> </w:t>
      </w:r>
      <w:hyperlink r:id="rId3" w:history="1">
        <w:r w:rsidRPr="00781E45">
          <w:rPr>
            <w:rStyle w:val="Hyperlink"/>
          </w:rPr>
          <w:t>http://www.asccc.org/about/values-statement</w:t>
        </w:r>
      </w:hyperlink>
      <w:r>
        <w:t xml:space="preserve"> </w:t>
      </w:r>
    </w:p>
  </w:footnote>
  <w:footnote w:id="4">
    <w:p w14:paraId="7CC16476" w14:textId="77777777" w:rsidR="002334B0" w:rsidRDefault="002334B0" w:rsidP="00AF069A">
      <w:pPr>
        <w:pStyle w:val="FootnoteText"/>
      </w:pPr>
      <w:r>
        <w:rPr>
          <w:rStyle w:val="FootnoteReference"/>
        </w:rPr>
        <w:footnoteRef/>
      </w:r>
      <w:hyperlink r:id="rId4" w:history="1">
        <w:r w:rsidRPr="00781E45">
          <w:rPr>
            <w:rStyle w:val="Hyperlink"/>
          </w:rPr>
          <w:t>http://californiacommunitycolleges.cccco.edu/Portals/0/DocDownloads/PressReleases/DEC2016/PR-Principles-12-5-16-FINAL.pdf</w:t>
        </w:r>
      </w:hyperlink>
    </w:p>
    <w:p w14:paraId="22380279" w14:textId="77777777" w:rsidR="002334B0" w:rsidRDefault="002334B0" w:rsidP="00AF069A">
      <w:pPr>
        <w:pStyle w:val="FootnoteText"/>
      </w:pPr>
    </w:p>
  </w:footnote>
  <w:footnote w:id="5">
    <w:p w14:paraId="7CB86855" w14:textId="77777777" w:rsidR="002334B0" w:rsidRDefault="002334B0" w:rsidP="00193784">
      <w:pPr>
        <w:pStyle w:val="FootnoteText"/>
      </w:pPr>
      <w:r>
        <w:rPr>
          <w:rStyle w:val="FootnoteReference"/>
        </w:rPr>
        <w:footnoteRef/>
      </w:r>
      <w:r>
        <w:t xml:space="preserve"> </w:t>
      </w:r>
      <w:hyperlink r:id="rId5" w:anchor="guidelines" w:history="1">
        <w:r w:rsidRPr="000E1866">
          <w:rPr>
            <w:rStyle w:val="Hyperlink"/>
          </w:rPr>
          <w:t>https://www.uscis.gov/humanitarian/consideration-deferred-action-childhood-arrivals-daca#guidelines</w:t>
        </w:r>
      </w:hyperlink>
      <w:r>
        <w:t xml:space="preserve"> </w:t>
      </w:r>
    </w:p>
  </w:footnote>
  <w:footnote w:id="6">
    <w:p w14:paraId="38CF6CBD" w14:textId="77777777" w:rsidR="002334B0" w:rsidRDefault="002334B0" w:rsidP="003222E9">
      <w:pPr>
        <w:pStyle w:val="FootnoteText"/>
      </w:pPr>
      <w:r>
        <w:rPr>
          <w:rStyle w:val="FootnoteReference"/>
        </w:rPr>
        <w:footnoteRef/>
      </w:r>
      <w:r>
        <w:t xml:space="preserve"> </w:t>
      </w:r>
      <w:r w:rsidRPr="00F838E4">
        <w:t>http://datamart.cccco.edu/Students/FTES_Summary.aspx</w:t>
      </w:r>
    </w:p>
  </w:footnote>
  <w:footnote w:id="7">
    <w:p w14:paraId="68FA7DB8" w14:textId="47C92A10" w:rsidR="002334B0" w:rsidRDefault="002334B0">
      <w:pPr>
        <w:pStyle w:val="FootnoteText"/>
      </w:pPr>
      <w:r>
        <w:rPr>
          <w:rStyle w:val="FootnoteReference"/>
        </w:rPr>
        <w:footnoteRef/>
      </w:r>
      <w:r>
        <w:t xml:space="preserve"> </w:t>
      </w:r>
      <w:hyperlink r:id="rId6" w:history="1">
        <w:r w:rsidRPr="00240A70">
          <w:rPr>
            <w:rStyle w:val="Hyperlink"/>
          </w:rPr>
          <w:t>http://www.asccc.org/papers/slo-terminology-glossary-resource-local-senates</w:t>
        </w:r>
      </w:hyperlink>
      <w:r>
        <w:t xml:space="preserve"> </w:t>
      </w:r>
    </w:p>
  </w:footnote>
  <w:footnote w:id="8">
    <w:p w14:paraId="7082BF29" w14:textId="77777777" w:rsidR="002334B0" w:rsidRDefault="002334B0" w:rsidP="002E0719">
      <w:pPr>
        <w:pStyle w:val="FootnoteText"/>
      </w:pPr>
      <w:r>
        <w:rPr>
          <w:rStyle w:val="FootnoteReference"/>
        </w:rPr>
        <w:footnoteRef/>
      </w:r>
      <w:r>
        <w:t xml:space="preserve"> </w:t>
      </w:r>
      <w:hyperlink r:id="rId7" w:history="1">
        <w:r w:rsidRPr="007A39E5">
          <w:rPr>
            <w:rStyle w:val="Hyperlink"/>
          </w:rPr>
          <w:t>http://asccc.org/resolutions/using-anticipated-savings-adopting-common-course-management-system-support-online</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A482F"/>
    <w:multiLevelType w:val="hybridMultilevel"/>
    <w:tmpl w:val="332EEFAA"/>
    <w:lvl w:ilvl="0" w:tplc="2E724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6F"/>
    <w:rsid w:val="00002510"/>
    <w:rsid w:val="00007DC7"/>
    <w:rsid w:val="000119CC"/>
    <w:rsid w:val="00025368"/>
    <w:rsid w:val="000306EA"/>
    <w:rsid w:val="00035A2F"/>
    <w:rsid w:val="000439EA"/>
    <w:rsid w:val="00050639"/>
    <w:rsid w:val="00050BD4"/>
    <w:rsid w:val="00070A9F"/>
    <w:rsid w:val="00074A7D"/>
    <w:rsid w:val="000852FA"/>
    <w:rsid w:val="000A0DD8"/>
    <w:rsid w:val="000B3EB5"/>
    <w:rsid w:val="000C56E0"/>
    <w:rsid w:val="000D173B"/>
    <w:rsid w:val="000D4829"/>
    <w:rsid w:val="0010116B"/>
    <w:rsid w:val="00115E4E"/>
    <w:rsid w:val="00126D2C"/>
    <w:rsid w:val="00132FA7"/>
    <w:rsid w:val="00141A96"/>
    <w:rsid w:val="001536F9"/>
    <w:rsid w:val="00167286"/>
    <w:rsid w:val="001777AA"/>
    <w:rsid w:val="00177F19"/>
    <w:rsid w:val="00181403"/>
    <w:rsid w:val="00191C4D"/>
    <w:rsid w:val="00193784"/>
    <w:rsid w:val="00194A42"/>
    <w:rsid w:val="001B4F6D"/>
    <w:rsid w:val="001B6AD1"/>
    <w:rsid w:val="001C2E7C"/>
    <w:rsid w:val="001C59B1"/>
    <w:rsid w:val="001C73BE"/>
    <w:rsid w:val="001F2FB4"/>
    <w:rsid w:val="00205F95"/>
    <w:rsid w:val="00221DC8"/>
    <w:rsid w:val="002334B0"/>
    <w:rsid w:val="00246A65"/>
    <w:rsid w:val="00246F83"/>
    <w:rsid w:val="00247D47"/>
    <w:rsid w:val="00277B22"/>
    <w:rsid w:val="00282726"/>
    <w:rsid w:val="0028795F"/>
    <w:rsid w:val="00287CDA"/>
    <w:rsid w:val="0029534D"/>
    <w:rsid w:val="00297440"/>
    <w:rsid w:val="002A1914"/>
    <w:rsid w:val="002E0719"/>
    <w:rsid w:val="002E5F90"/>
    <w:rsid w:val="002F4282"/>
    <w:rsid w:val="003222E9"/>
    <w:rsid w:val="003505BA"/>
    <w:rsid w:val="00356F98"/>
    <w:rsid w:val="00396729"/>
    <w:rsid w:val="003A40C7"/>
    <w:rsid w:val="003B7B17"/>
    <w:rsid w:val="003C0D27"/>
    <w:rsid w:val="003C25ED"/>
    <w:rsid w:val="003C461B"/>
    <w:rsid w:val="003C62A3"/>
    <w:rsid w:val="003E3BF7"/>
    <w:rsid w:val="003F5C79"/>
    <w:rsid w:val="00400D6F"/>
    <w:rsid w:val="00413A4D"/>
    <w:rsid w:val="004320FA"/>
    <w:rsid w:val="00452D12"/>
    <w:rsid w:val="004705E9"/>
    <w:rsid w:val="00472AB3"/>
    <w:rsid w:val="00477AAB"/>
    <w:rsid w:val="00477D7B"/>
    <w:rsid w:val="00483665"/>
    <w:rsid w:val="00496D5F"/>
    <w:rsid w:val="004B7C70"/>
    <w:rsid w:val="004C76B7"/>
    <w:rsid w:val="004D4637"/>
    <w:rsid w:val="004E692C"/>
    <w:rsid w:val="004F2CDE"/>
    <w:rsid w:val="004F32DC"/>
    <w:rsid w:val="00500B9F"/>
    <w:rsid w:val="00504D3E"/>
    <w:rsid w:val="005142F2"/>
    <w:rsid w:val="00515CAF"/>
    <w:rsid w:val="0054298E"/>
    <w:rsid w:val="00551CB8"/>
    <w:rsid w:val="005537A9"/>
    <w:rsid w:val="005546C4"/>
    <w:rsid w:val="00581223"/>
    <w:rsid w:val="00583ECB"/>
    <w:rsid w:val="005954C1"/>
    <w:rsid w:val="00597EA3"/>
    <w:rsid w:val="005C02F4"/>
    <w:rsid w:val="005C4083"/>
    <w:rsid w:val="005C7AB6"/>
    <w:rsid w:val="005E469B"/>
    <w:rsid w:val="005F155D"/>
    <w:rsid w:val="00633362"/>
    <w:rsid w:val="00633F23"/>
    <w:rsid w:val="00645BEC"/>
    <w:rsid w:val="00657035"/>
    <w:rsid w:val="00661D99"/>
    <w:rsid w:val="00661FE1"/>
    <w:rsid w:val="00662E6D"/>
    <w:rsid w:val="006864D8"/>
    <w:rsid w:val="006A17ED"/>
    <w:rsid w:val="006A4C23"/>
    <w:rsid w:val="006B0CCA"/>
    <w:rsid w:val="006B6456"/>
    <w:rsid w:val="006C6817"/>
    <w:rsid w:val="006D2790"/>
    <w:rsid w:val="006F4F03"/>
    <w:rsid w:val="0070379E"/>
    <w:rsid w:val="007133C9"/>
    <w:rsid w:val="00715970"/>
    <w:rsid w:val="00717548"/>
    <w:rsid w:val="00726DD4"/>
    <w:rsid w:val="0073503C"/>
    <w:rsid w:val="007427FC"/>
    <w:rsid w:val="00763DD1"/>
    <w:rsid w:val="00777B9C"/>
    <w:rsid w:val="00793436"/>
    <w:rsid w:val="007E6613"/>
    <w:rsid w:val="007F26C0"/>
    <w:rsid w:val="008156C9"/>
    <w:rsid w:val="008228F9"/>
    <w:rsid w:val="008240A5"/>
    <w:rsid w:val="008266BB"/>
    <w:rsid w:val="00830E50"/>
    <w:rsid w:val="00833C3F"/>
    <w:rsid w:val="00866BE7"/>
    <w:rsid w:val="008677D1"/>
    <w:rsid w:val="00873A03"/>
    <w:rsid w:val="00885907"/>
    <w:rsid w:val="00893DDD"/>
    <w:rsid w:val="00896F84"/>
    <w:rsid w:val="008A4865"/>
    <w:rsid w:val="008B23B1"/>
    <w:rsid w:val="008B2800"/>
    <w:rsid w:val="008B676F"/>
    <w:rsid w:val="008C3470"/>
    <w:rsid w:val="008C4400"/>
    <w:rsid w:val="008C4BBD"/>
    <w:rsid w:val="008C5580"/>
    <w:rsid w:val="008D6FAF"/>
    <w:rsid w:val="008E137E"/>
    <w:rsid w:val="008F1D96"/>
    <w:rsid w:val="009034C4"/>
    <w:rsid w:val="00917CFE"/>
    <w:rsid w:val="00921635"/>
    <w:rsid w:val="00926F51"/>
    <w:rsid w:val="009403CC"/>
    <w:rsid w:val="00952B49"/>
    <w:rsid w:val="00983B5A"/>
    <w:rsid w:val="00997D41"/>
    <w:rsid w:val="009A0E29"/>
    <w:rsid w:val="009A182E"/>
    <w:rsid w:val="009A199F"/>
    <w:rsid w:val="009C6B49"/>
    <w:rsid w:val="009E7D4D"/>
    <w:rsid w:val="00A12D27"/>
    <w:rsid w:val="00A16223"/>
    <w:rsid w:val="00A22D08"/>
    <w:rsid w:val="00A24B16"/>
    <w:rsid w:val="00A4049A"/>
    <w:rsid w:val="00A53151"/>
    <w:rsid w:val="00A54324"/>
    <w:rsid w:val="00A6618C"/>
    <w:rsid w:val="00A70061"/>
    <w:rsid w:val="00A77D7B"/>
    <w:rsid w:val="00A81AA3"/>
    <w:rsid w:val="00A84EC5"/>
    <w:rsid w:val="00A8713A"/>
    <w:rsid w:val="00A91FF8"/>
    <w:rsid w:val="00AB0B87"/>
    <w:rsid w:val="00AE06A5"/>
    <w:rsid w:val="00AF069A"/>
    <w:rsid w:val="00AF1D4A"/>
    <w:rsid w:val="00B129DB"/>
    <w:rsid w:val="00B17603"/>
    <w:rsid w:val="00B217C6"/>
    <w:rsid w:val="00B42C11"/>
    <w:rsid w:val="00B46319"/>
    <w:rsid w:val="00B46C92"/>
    <w:rsid w:val="00B57CC0"/>
    <w:rsid w:val="00B707CB"/>
    <w:rsid w:val="00B91FD1"/>
    <w:rsid w:val="00B923EC"/>
    <w:rsid w:val="00BA4DCA"/>
    <w:rsid w:val="00BB138E"/>
    <w:rsid w:val="00BB378D"/>
    <w:rsid w:val="00BB5256"/>
    <w:rsid w:val="00BC29B0"/>
    <w:rsid w:val="00BF22C9"/>
    <w:rsid w:val="00C25C90"/>
    <w:rsid w:val="00C45352"/>
    <w:rsid w:val="00C571A1"/>
    <w:rsid w:val="00CB26BA"/>
    <w:rsid w:val="00CB66DE"/>
    <w:rsid w:val="00CD3DB9"/>
    <w:rsid w:val="00CF724A"/>
    <w:rsid w:val="00D04473"/>
    <w:rsid w:val="00D21C8F"/>
    <w:rsid w:val="00D262FB"/>
    <w:rsid w:val="00D73AE4"/>
    <w:rsid w:val="00D8646B"/>
    <w:rsid w:val="00DE4290"/>
    <w:rsid w:val="00DE5714"/>
    <w:rsid w:val="00DE6FF2"/>
    <w:rsid w:val="00DF142F"/>
    <w:rsid w:val="00DF49A1"/>
    <w:rsid w:val="00E00C12"/>
    <w:rsid w:val="00E426C7"/>
    <w:rsid w:val="00E438CB"/>
    <w:rsid w:val="00E53145"/>
    <w:rsid w:val="00E70E0A"/>
    <w:rsid w:val="00E830F0"/>
    <w:rsid w:val="00EB4064"/>
    <w:rsid w:val="00F21902"/>
    <w:rsid w:val="00F253E4"/>
    <w:rsid w:val="00F25DA6"/>
    <w:rsid w:val="00F33B25"/>
    <w:rsid w:val="00F43362"/>
    <w:rsid w:val="00F45936"/>
    <w:rsid w:val="00F53997"/>
    <w:rsid w:val="00F66D93"/>
    <w:rsid w:val="00F75899"/>
    <w:rsid w:val="00F81CF8"/>
    <w:rsid w:val="00FA1AF2"/>
    <w:rsid w:val="00FB51E2"/>
    <w:rsid w:val="00FC49EF"/>
    <w:rsid w:val="00FC5B00"/>
    <w:rsid w:val="00FD2A41"/>
    <w:rsid w:val="00FF5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11AD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3151"/>
    <w:pP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A53151"/>
    <w:pPr>
      <w:jc w:val="both"/>
      <w:outlineLvl w:val="1"/>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902"/>
    <w:pPr>
      <w:ind w:left="720"/>
      <w:contextualSpacing/>
    </w:pPr>
  </w:style>
  <w:style w:type="paragraph" w:styleId="FootnoteText">
    <w:name w:val="footnote text"/>
    <w:basedOn w:val="Normal"/>
    <w:link w:val="FootnoteTextChar"/>
    <w:uiPriority w:val="99"/>
    <w:unhideWhenUsed/>
    <w:rsid w:val="00F21902"/>
  </w:style>
  <w:style w:type="character" w:customStyle="1" w:styleId="FootnoteTextChar">
    <w:name w:val="Footnote Text Char"/>
    <w:basedOn w:val="DefaultParagraphFont"/>
    <w:link w:val="FootnoteText"/>
    <w:uiPriority w:val="99"/>
    <w:rsid w:val="00F21902"/>
  </w:style>
  <w:style w:type="character" w:styleId="FootnoteReference">
    <w:name w:val="footnote reference"/>
    <w:basedOn w:val="DefaultParagraphFont"/>
    <w:uiPriority w:val="99"/>
    <w:unhideWhenUsed/>
    <w:rsid w:val="00F21902"/>
    <w:rPr>
      <w:vertAlign w:val="superscript"/>
    </w:rPr>
  </w:style>
  <w:style w:type="paragraph" w:styleId="NormalWeb">
    <w:name w:val="Normal (Web)"/>
    <w:basedOn w:val="Normal"/>
    <w:uiPriority w:val="99"/>
    <w:unhideWhenUsed/>
    <w:rsid w:val="00F21902"/>
    <w:pPr>
      <w:spacing w:before="100" w:beforeAutospacing="1" w:after="100" w:afterAutospacing="1"/>
    </w:pPr>
    <w:rPr>
      <w:rFonts w:ascii="Times" w:eastAsiaTheme="minorEastAsia" w:hAnsi="Times" w:cs="Times New Roman"/>
      <w:sz w:val="20"/>
      <w:szCs w:val="20"/>
    </w:rPr>
  </w:style>
  <w:style w:type="character" w:styleId="Emphasis">
    <w:name w:val="Emphasis"/>
    <w:basedOn w:val="DefaultParagraphFont"/>
    <w:uiPriority w:val="20"/>
    <w:qFormat/>
    <w:rsid w:val="00F21902"/>
    <w:rPr>
      <w:i/>
      <w:iCs/>
    </w:rPr>
  </w:style>
  <w:style w:type="character" w:customStyle="1" w:styleId="Hyperlink1">
    <w:name w:val="Hyperlink1"/>
    <w:basedOn w:val="DefaultParagraphFont"/>
    <w:uiPriority w:val="99"/>
    <w:unhideWhenUsed/>
    <w:rsid w:val="00F25DA6"/>
    <w:rPr>
      <w:color w:val="0563C1"/>
      <w:u w:val="single"/>
    </w:rPr>
  </w:style>
  <w:style w:type="character" w:styleId="Hyperlink">
    <w:name w:val="Hyperlink"/>
    <w:basedOn w:val="DefaultParagraphFont"/>
    <w:uiPriority w:val="99"/>
    <w:unhideWhenUsed/>
    <w:rsid w:val="00F25DA6"/>
    <w:rPr>
      <w:color w:val="0563C1" w:themeColor="hyperlink"/>
      <w:u w:val="single"/>
    </w:rPr>
  </w:style>
  <w:style w:type="character" w:styleId="CommentReference">
    <w:name w:val="annotation reference"/>
    <w:basedOn w:val="DefaultParagraphFont"/>
    <w:uiPriority w:val="99"/>
    <w:semiHidden/>
    <w:unhideWhenUsed/>
    <w:rsid w:val="00A81AA3"/>
    <w:rPr>
      <w:sz w:val="18"/>
      <w:szCs w:val="18"/>
    </w:rPr>
  </w:style>
  <w:style w:type="paragraph" w:styleId="CommentText">
    <w:name w:val="annotation text"/>
    <w:basedOn w:val="Normal"/>
    <w:link w:val="CommentTextChar"/>
    <w:uiPriority w:val="99"/>
    <w:semiHidden/>
    <w:unhideWhenUsed/>
    <w:rsid w:val="00A81AA3"/>
  </w:style>
  <w:style w:type="character" w:customStyle="1" w:styleId="CommentTextChar">
    <w:name w:val="Comment Text Char"/>
    <w:basedOn w:val="DefaultParagraphFont"/>
    <w:link w:val="CommentText"/>
    <w:uiPriority w:val="99"/>
    <w:semiHidden/>
    <w:rsid w:val="00A81AA3"/>
  </w:style>
  <w:style w:type="paragraph" w:styleId="CommentSubject">
    <w:name w:val="annotation subject"/>
    <w:basedOn w:val="CommentText"/>
    <w:next w:val="CommentText"/>
    <w:link w:val="CommentSubjectChar"/>
    <w:uiPriority w:val="99"/>
    <w:semiHidden/>
    <w:unhideWhenUsed/>
    <w:rsid w:val="00A81AA3"/>
    <w:rPr>
      <w:b/>
      <w:bCs/>
      <w:sz w:val="20"/>
      <w:szCs w:val="20"/>
    </w:rPr>
  </w:style>
  <w:style w:type="character" w:customStyle="1" w:styleId="CommentSubjectChar">
    <w:name w:val="Comment Subject Char"/>
    <w:basedOn w:val="CommentTextChar"/>
    <w:link w:val="CommentSubject"/>
    <w:uiPriority w:val="99"/>
    <w:semiHidden/>
    <w:rsid w:val="00A81AA3"/>
    <w:rPr>
      <w:b/>
      <w:bCs/>
      <w:sz w:val="20"/>
      <w:szCs w:val="20"/>
    </w:rPr>
  </w:style>
  <w:style w:type="paragraph" w:styleId="BalloonText">
    <w:name w:val="Balloon Text"/>
    <w:basedOn w:val="Normal"/>
    <w:link w:val="BalloonTextChar"/>
    <w:uiPriority w:val="99"/>
    <w:semiHidden/>
    <w:unhideWhenUsed/>
    <w:rsid w:val="00A81A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1AA3"/>
    <w:rPr>
      <w:rFonts w:ascii="Times New Roman" w:hAnsi="Times New Roman" w:cs="Times New Roman"/>
      <w:sz w:val="18"/>
      <w:szCs w:val="18"/>
    </w:rPr>
  </w:style>
  <w:style w:type="character" w:customStyle="1" w:styleId="Heading1Char">
    <w:name w:val="Heading 1 Char"/>
    <w:basedOn w:val="DefaultParagraphFont"/>
    <w:link w:val="Heading1"/>
    <w:uiPriority w:val="9"/>
    <w:rsid w:val="00A53151"/>
    <w:rPr>
      <w:rFonts w:ascii="Times New Roman" w:hAnsi="Times New Roman" w:cs="Times New Roman"/>
      <w:b/>
    </w:rPr>
  </w:style>
  <w:style w:type="paragraph" w:styleId="TOCHeading">
    <w:name w:val="TOC Heading"/>
    <w:basedOn w:val="Heading1"/>
    <w:next w:val="Normal"/>
    <w:uiPriority w:val="39"/>
    <w:unhideWhenUsed/>
    <w:qFormat/>
    <w:rsid w:val="00A53151"/>
    <w:pPr>
      <w:spacing w:before="480" w:line="276" w:lineRule="auto"/>
      <w:outlineLvl w:val="9"/>
    </w:pPr>
    <w:rPr>
      <w:b w:val="0"/>
      <w:bCs/>
      <w:sz w:val="28"/>
      <w:szCs w:val="28"/>
    </w:rPr>
  </w:style>
  <w:style w:type="paragraph" w:styleId="TOC1">
    <w:name w:val="toc 1"/>
    <w:basedOn w:val="Normal"/>
    <w:next w:val="Normal"/>
    <w:autoRedefine/>
    <w:uiPriority w:val="39"/>
    <w:unhideWhenUsed/>
    <w:rsid w:val="00A53151"/>
    <w:pPr>
      <w:spacing w:before="120"/>
    </w:pPr>
    <w:rPr>
      <w:b/>
      <w:bCs/>
      <w:caps/>
      <w:sz w:val="22"/>
      <w:szCs w:val="22"/>
    </w:rPr>
  </w:style>
  <w:style w:type="paragraph" w:styleId="TOC2">
    <w:name w:val="toc 2"/>
    <w:basedOn w:val="Normal"/>
    <w:next w:val="Normal"/>
    <w:autoRedefine/>
    <w:uiPriority w:val="39"/>
    <w:unhideWhenUsed/>
    <w:rsid w:val="00A53151"/>
    <w:pPr>
      <w:ind w:left="240"/>
    </w:pPr>
    <w:rPr>
      <w:smallCaps/>
      <w:sz w:val="22"/>
      <w:szCs w:val="22"/>
    </w:rPr>
  </w:style>
  <w:style w:type="paragraph" w:styleId="TOC3">
    <w:name w:val="toc 3"/>
    <w:basedOn w:val="Normal"/>
    <w:next w:val="Normal"/>
    <w:autoRedefine/>
    <w:uiPriority w:val="39"/>
    <w:semiHidden/>
    <w:unhideWhenUsed/>
    <w:rsid w:val="00A53151"/>
    <w:pPr>
      <w:ind w:left="480"/>
    </w:pPr>
    <w:rPr>
      <w:i/>
      <w:iCs/>
      <w:sz w:val="22"/>
      <w:szCs w:val="22"/>
    </w:rPr>
  </w:style>
  <w:style w:type="paragraph" w:styleId="TOC4">
    <w:name w:val="toc 4"/>
    <w:basedOn w:val="Normal"/>
    <w:next w:val="Normal"/>
    <w:autoRedefine/>
    <w:uiPriority w:val="39"/>
    <w:semiHidden/>
    <w:unhideWhenUsed/>
    <w:rsid w:val="00A53151"/>
    <w:pPr>
      <w:ind w:left="720"/>
    </w:pPr>
    <w:rPr>
      <w:sz w:val="18"/>
      <w:szCs w:val="18"/>
    </w:rPr>
  </w:style>
  <w:style w:type="paragraph" w:styleId="TOC5">
    <w:name w:val="toc 5"/>
    <w:basedOn w:val="Normal"/>
    <w:next w:val="Normal"/>
    <w:autoRedefine/>
    <w:uiPriority w:val="39"/>
    <w:semiHidden/>
    <w:unhideWhenUsed/>
    <w:rsid w:val="00A53151"/>
    <w:pPr>
      <w:ind w:left="960"/>
    </w:pPr>
    <w:rPr>
      <w:sz w:val="18"/>
      <w:szCs w:val="18"/>
    </w:rPr>
  </w:style>
  <w:style w:type="paragraph" w:styleId="TOC6">
    <w:name w:val="toc 6"/>
    <w:basedOn w:val="Normal"/>
    <w:next w:val="Normal"/>
    <w:autoRedefine/>
    <w:uiPriority w:val="39"/>
    <w:semiHidden/>
    <w:unhideWhenUsed/>
    <w:rsid w:val="00A53151"/>
    <w:pPr>
      <w:ind w:left="1200"/>
    </w:pPr>
    <w:rPr>
      <w:sz w:val="18"/>
      <w:szCs w:val="18"/>
    </w:rPr>
  </w:style>
  <w:style w:type="paragraph" w:styleId="TOC7">
    <w:name w:val="toc 7"/>
    <w:basedOn w:val="Normal"/>
    <w:next w:val="Normal"/>
    <w:autoRedefine/>
    <w:uiPriority w:val="39"/>
    <w:semiHidden/>
    <w:unhideWhenUsed/>
    <w:rsid w:val="00A53151"/>
    <w:pPr>
      <w:ind w:left="1440"/>
    </w:pPr>
    <w:rPr>
      <w:sz w:val="18"/>
      <w:szCs w:val="18"/>
    </w:rPr>
  </w:style>
  <w:style w:type="paragraph" w:styleId="TOC8">
    <w:name w:val="toc 8"/>
    <w:basedOn w:val="Normal"/>
    <w:next w:val="Normal"/>
    <w:autoRedefine/>
    <w:uiPriority w:val="39"/>
    <w:semiHidden/>
    <w:unhideWhenUsed/>
    <w:rsid w:val="00A53151"/>
    <w:pPr>
      <w:ind w:left="1680"/>
    </w:pPr>
    <w:rPr>
      <w:sz w:val="18"/>
      <w:szCs w:val="18"/>
    </w:rPr>
  </w:style>
  <w:style w:type="paragraph" w:styleId="TOC9">
    <w:name w:val="toc 9"/>
    <w:basedOn w:val="Normal"/>
    <w:next w:val="Normal"/>
    <w:autoRedefine/>
    <w:uiPriority w:val="39"/>
    <w:semiHidden/>
    <w:unhideWhenUsed/>
    <w:rsid w:val="00A53151"/>
    <w:pPr>
      <w:ind w:left="1920"/>
    </w:pPr>
    <w:rPr>
      <w:sz w:val="18"/>
      <w:szCs w:val="18"/>
    </w:rPr>
  </w:style>
  <w:style w:type="character" w:customStyle="1" w:styleId="Heading2Char">
    <w:name w:val="Heading 2 Char"/>
    <w:basedOn w:val="DefaultParagraphFont"/>
    <w:link w:val="Heading2"/>
    <w:uiPriority w:val="9"/>
    <w:rsid w:val="00A53151"/>
    <w:rPr>
      <w:rFonts w:ascii="Times New Roman" w:hAnsi="Times New Roman" w:cs="Times New Roman"/>
      <w:b/>
    </w:rPr>
  </w:style>
  <w:style w:type="paragraph" w:styleId="Revision">
    <w:name w:val="Revision"/>
    <w:hidden/>
    <w:uiPriority w:val="99"/>
    <w:semiHidden/>
    <w:rsid w:val="00D8646B"/>
  </w:style>
  <w:style w:type="character" w:styleId="FollowedHyperlink">
    <w:name w:val="FollowedHyperlink"/>
    <w:basedOn w:val="DefaultParagraphFont"/>
    <w:uiPriority w:val="99"/>
    <w:semiHidden/>
    <w:unhideWhenUsed/>
    <w:rsid w:val="00D73A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09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sccc.org/about/values-statement" TargetMode="External"/><Relationship Id="rId7" Type="http://schemas.openxmlformats.org/officeDocument/2006/relationships/hyperlink" Target="http://asccc.org/resolutions/using-anticipated-savings-adopting-common-course-management-system-support-online" TargetMode="External"/><Relationship Id="rId2" Type="http://schemas.openxmlformats.org/officeDocument/2006/relationships/hyperlink" Target="http://californiacommunitycolleges.cccco.edu/Portals/0/Reports/2016-EEO-and-Diversity-Handbook-ADA.pdf" TargetMode="External"/><Relationship Id="rId1" Type="http://schemas.openxmlformats.org/officeDocument/2006/relationships/hyperlink" Target="http://asccc.org/papers/re-examination-faculty-hiring-processes-and-procedures" TargetMode="External"/><Relationship Id="rId6" Type="http://schemas.openxmlformats.org/officeDocument/2006/relationships/hyperlink" Target="http://www.asccc.org/papers/slo-terminology-glossary-resource-local-senates" TargetMode="External"/><Relationship Id="rId5" Type="http://schemas.openxmlformats.org/officeDocument/2006/relationships/hyperlink" Target="https://www.uscis.gov/humanitarian/consideration-deferred-action-childhood-arrivals-daca" TargetMode="External"/><Relationship Id="rId4" Type="http://schemas.openxmlformats.org/officeDocument/2006/relationships/hyperlink" Target="http://californiacommunitycolleges.cccco.edu/Portals/0/DocDownloads/PressReleases/DEC2016/PR-Principles-12-5-16-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038971-0D57-40BC-9136-5E371F25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5195</Words>
  <Characters>29615</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Beach</dc:creator>
  <cp:keywords/>
  <dc:description/>
  <cp:lastModifiedBy>Abigail Duldulao</cp:lastModifiedBy>
  <cp:revision>2</cp:revision>
  <dcterms:created xsi:type="dcterms:W3CDTF">2017-03-15T00:02:00Z</dcterms:created>
  <dcterms:modified xsi:type="dcterms:W3CDTF">2017-03-15T00:02:00Z</dcterms:modified>
</cp:coreProperties>
</file>