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FA0" w:rsidRPr="00262FA0" w:rsidRDefault="00262FA0" w:rsidP="00262FA0">
      <w:pPr>
        <w:shd w:val="clear" w:color="auto" w:fill="FFFFFF"/>
        <w:spacing w:after="0" w:line="240" w:lineRule="auto"/>
        <w:outlineLvl w:val="0"/>
        <w:rPr>
          <w:rFonts w:ascii="Arial" w:eastAsia="Times New Roman" w:hAnsi="Arial" w:cs="Arial"/>
          <w:b/>
          <w:bCs/>
          <w:color w:val="333333"/>
          <w:kern w:val="36"/>
          <w:sz w:val="36"/>
          <w:szCs w:val="36"/>
        </w:rPr>
      </w:pPr>
      <w:r w:rsidRPr="00262FA0">
        <w:rPr>
          <w:rFonts w:ascii="Arial" w:eastAsia="Times New Roman" w:hAnsi="Arial" w:cs="Arial"/>
          <w:b/>
          <w:bCs/>
          <w:color w:val="333333"/>
          <w:kern w:val="36"/>
          <w:sz w:val="36"/>
          <w:szCs w:val="36"/>
        </w:rPr>
        <w:t>What’s in a college course number? Lots of confusion</w:t>
      </w:r>
    </w:p>
    <w:p w:rsidR="00262FA0" w:rsidRPr="00262FA0" w:rsidRDefault="00262FA0" w:rsidP="00262FA0">
      <w:pPr>
        <w:shd w:val="clear" w:color="auto" w:fill="FFFFFF"/>
        <w:spacing w:before="60" w:line="240" w:lineRule="auto"/>
        <w:jc w:val="center"/>
        <w:outlineLvl w:val="1"/>
        <w:rPr>
          <w:rFonts w:ascii="minion-pro" w:eastAsia="Times New Roman" w:hAnsi="minion-pro" w:cs="Times New Roman"/>
          <w:b/>
          <w:bCs/>
          <w:i/>
          <w:iCs/>
          <w:color w:val="777777"/>
          <w:sz w:val="28"/>
          <w:szCs w:val="28"/>
        </w:rPr>
      </w:pPr>
      <w:r w:rsidRPr="00262FA0">
        <w:rPr>
          <w:rFonts w:ascii="minion-pro" w:eastAsia="Times New Roman" w:hAnsi="minion-pro" w:cs="Times New Roman"/>
          <w:b/>
          <w:bCs/>
          <w:i/>
          <w:iCs/>
          <w:color w:val="777777"/>
          <w:sz w:val="28"/>
          <w:szCs w:val="28"/>
        </w:rPr>
        <w:t>Bill would direct similar community college courses across the state to carry same number; faculty groups oppose</w:t>
      </w:r>
    </w:p>
    <w:p w:rsidR="00262FA0" w:rsidRPr="00262FA0" w:rsidRDefault="00262FA0" w:rsidP="00262FA0">
      <w:pPr>
        <w:shd w:val="clear" w:color="auto" w:fill="B81516"/>
        <w:spacing w:after="0" w:line="216" w:lineRule="atLeast"/>
        <w:jc w:val="center"/>
        <w:outlineLvl w:val="2"/>
        <w:rPr>
          <w:rFonts w:ascii="Arial" w:eastAsia="Times New Roman" w:hAnsi="Arial" w:cs="Arial"/>
          <w:caps/>
          <w:color w:val="666666"/>
        </w:rPr>
      </w:pPr>
      <w:hyperlink r:id="rId4" w:history="1">
        <w:r w:rsidRPr="00262FA0">
          <w:rPr>
            <w:rFonts w:ascii="Arial" w:eastAsia="Times New Roman" w:hAnsi="Arial" w:cs="Arial"/>
            <w:caps/>
            <w:color w:val="FFFFFF"/>
          </w:rPr>
          <w:t>COLLEGE &amp; CAREERS</w:t>
        </w:r>
      </w:hyperlink>
    </w:p>
    <w:p w:rsidR="00262FA0" w:rsidRPr="00262FA0" w:rsidRDefault="00262FA0" w:rsidP="00262FA0">
      <w:pPr>
        <w:shd w:val="clear" w:color="auto" w:fill="FFFFFF"/>
        <w:spacing w:before="192" w:after="240" w:line="240" w:lineRule="auto"/>
        <w:jc w:val="center"/>
        <w:outlineLvl w:val="4"/>
        <w:rPr>
          <w:rFonts w:ascii="Arial" w:eastAsia="Times New Roman" w:hAnsi="Arial" w:cs="Arial"/>
          <w:caps/>
          <w:color w:val="767676"/>
        </w:rPr>
      </w:pPr>
      <w:r w:rsidRPr="00262FA0">
        <w:rPr>
          <w:rFonts w:ascii="Arial" w:eastAsia="Times New Roman" w:hAnsi="Arial" w:cs="Arial"/>
          <w:caps/>
          <w:color w:val="767676"/>
        </w:rPr>
        <w:t>APRIL 30, 2021</w:t>
      </w:r>
    </w:p>
    <w:p w:rsidR="00262FA0" w:rsidRPr="00262FA0" w:rsidRDefault="00262FA0" w:rsidP="00262FA0">
      <w:pPr>
        <w:shd w:val="clear" w:color="auto" w:fill="FFFFFF"/>
        <w:spacing w:line="240" w:lineRule="auto"/>
        <w:rPr>
          <w:rFonts w:ascii="Arial" w:eastAsia="Times New Roman" w:hAnsi="Arial" w:cs="Arial"/>
          <w:color w:val="FFFFFF"/>
          <w:sz w:val="21"/>
          <w:szCs w:val="21"/>
        </w:rPr>
      </w:pPr>
      <w:r w:rsidRPr="00262FA0">
        <w:rPr>
          <w:rFonts w:ascii="Arial" w:eastAsia="Times New Roman" w:hAnsi="Arial" w:cs="Arial"/>
          <w:color w:val="FFFFFF"/>
          <w:sz w:val="21"/>
          <w:szCs w:val="21"/>
        </w:rPr>
        <w:t xml:space="preserve"> course numbers with other schools in the Los Rios District.</w:t>
      </w:r>
    </w:p>
    <w:p w:rsidR="00262FA0" w:rsidRPr="00262FA0" w:rsidRDefault="00262FA0" w:rsidP="00262FA0">
      <w:pPr>
        <w:shd w:val="clear" w:color="auto" w:fill="FFFFFF"/>
        <w:spacing w:after="0" w:line="240" w:lineRule="auto"/>
        <w:rPr>
          <w:rFonts w:ascii="minion-pro" w:eastAsia="Times New Roman" w:hAnsi="minion-pro" w:cs="Times New Roman"/>
          <w:color w:val="333333"/>
          <w:sz w:val="28"/>
          <w:szCs w:val="28"/>
        </w:rPr>
      </w:pPr>
      <w:r w:rsidRPr="00262FA0">
        <w:rPr>
          <w:rFonts w:ascii="minion-pro" w:eastAsia="Times New Roman" w:hAnsi="minion-pro" w:cs="Times New Roman"/>
          <w:color w:val="333333"/>
          <w:sz w:val="28"/>
          <w:szCs w:val="28"/>
        </w:rPr>
        <w:t>At Pasadena City College, college algebra for STEM majors is labeled Math 003. At Cypress College, it’s Math 141 C and at Napa Valley, it’s Math</w:t>
      </w:r>
      <w:r w:rsidRPr="00262FA0">
        <w:rPr>
          <w:rFonts w:ascii="minion-pro" w:eastAsia="Times New Roman" w:hAnsi="minion-pro" w:cs="Times New Roman"/>
          <w:i/>
          <w:iCs/>
          <w:color w:val="333333"/>
          <w:sz w:val="28"/>
          <w:szCs w:val="28"/>
        </w:rPr>
        <w:t> </w:t>
      </w:r>
      <w:r w:rsidRPr="00262FA0">
        <w:rPr>
          <w:rFonts w:ascii="minion-pro" w:eastAsia="Times New Roman" w:hAnsi="minion-pro" w:cs="Times New Roman"/>
          <w:color w:val="333333"/>
          <w:sz w:val="28"/>
          <w:szCs w:val="28"/>
        </w:rPr>
        <w:t xml:space="preserve">106. For anyone hoping to enroll in the same course at Oxnard College, look for Math R115. At Cuyamaca </w:t>
      </w:r>
      <w:bookmarkStart w:id="0" w:name="_GoBack"/>
      <w:bookmarkEnd w:id="0"/>
      <w:r w:rsidRPr="00262FA0">
        <w:rPr>
          <w:rFonts w:ascii="minion-pro" w:eastAsia="Times New Roman" w:hAnsi="minion-pro" w:cs="Times New Roman"/>
          <w:color w:val="333333"/>
          <w:sz w:val="28"/>
          <w:szCs w:val="28"/>
        </w:rPr>
        <w:t>College, try Math 175. And at College of the Sequoias, it’s Math 035.</w:t>
      </w:r>
    </w:p>
    <w:p w:rsidR="00262FA0" w:rsidRPr="00262FA0" w:rsidRDefault="00262FA0" w:rsidP="00262FA0">
      <w:pPr>
        <w:shd w:val="clear" w:color="auto" w:fill="FFFFFF"/>
        <w:spacing w:before="360" w:after="360" w:line="240" w:lineRule="auto"/>
        <w:rPr>
          <w:rFonts w:ascii="minion-pro" w:eastAsia="Times New Roman" w:hAnsi="minion-pro" w:cs="Times New Roman"/>
          <w:color w:val="333333"/>
          <w:sz w:val="28"/>
          <w:szCs w:val="28"/>
        </w:rPr>
      </w:pPr>
      <w:r w:rsidRPr="00262FA0">
        <w:rPr>
          <w:rFonts w:ascii="minion-pro" w:eastAsia="Times New Roman" w:hAnsi="minion-pro" w:cs="Times New Roman"/>
          <w:color w:val="333333"/>
          <w:sz w:val="28"/>
          <w:szCs w:val="28"/>
        </w:rPr>
        <w:t>On and on across California’s public community colleges, courses that basically cover the same material and are recognized as being interchangeable in fulfilling requirements for majors and transfers are assigned different course numbers. That process confuses community college students trying to transfer to a four-year university, critics say. Students may not know whether they are taking the right courses and may inadvertently repeat some if they take classes at more than one community college, either in person or online.</w:t>
      </w:r>
    </w:p>
    <w:p w:rsidR="00262FA0" w:rsidRPr="00262FA0" w:rsidRDefault="00262FA0" w:rsidP="00262FA0">
      <w:pPr>
        <w:shd w:val="clear" w:color="auto" w:fill="FFFFFF"/>
        <w:spacing w:before="360" w:after="360" w:line="240" w:lineRule="auto"/>
        <w:rPr>
          <w:rFonts w:ascii="minion-pro" w:eastAsia="Times New Roman" w:hAnsi="minion-pro" w:cs="Times New Roman"/>
          <w:color w:val="333333"/>
          <w:sz w:val="28"/>
          <w:szCs w:val="28"/>
        </w:rPr>
      </w:pPr>
      <w:r w:rsidRPr="00262FA0">
        <w:rPr>
          <w:rFonts w:ascii="minion-pro" w:eastAsia="Times New Roman" w:hAnsi="minion-pro" w:cs="Times New Roman"/>
          <w:color w:val="333333"/>
          <w:sz w:val="28"/>
          <w:szCs w:val="28"/>
        </w:rPr>
        <w:t>Proposals to develop a statewide common numbering system have been debated for nearly three decades. A shadow system already tries to identify similar courses at different colleges, but some say it’s not enough and not easily available to students.</w:t>
      </w:r>
    </w:p>
    <w:p w:rsidR="00262FA0" w:rsidRPr="00262FA0" w:rsidRDefault="00262FA0" w:rsidP="00262FA0">
      <w:pPr>
        <w:shd w:val="clear" w:color="auto" w:fill="FFFFFF"/>
        <w:spacing w:after="0" w:line="240" w:lineRule="auto"/>
        <w:rPr>
          <w:rFonts w:ascii="minion-pro" w:eastAsia="Times New Roman" w:hAnsi="minion-pro" w:cs="Times New Roman"/>
          <w:color w:val="333333"/>
          <w:sz w:val="28"/>
          <w:szCs w:val="28"/>
        </w:rPr>
      </w:pPr>
      <w:r w:rsidRPr="00262FA0">
        <w:rPr>
          <w:rFonts w:ascii="minion-pro" w:eastAsia="Times New Roman" w:hAnsi="minion-pro" w:cs="Times New Roman"/>
          <w:color w:val="333333"/>
          <w:sz w:val="28"/>
          <w:szCs w:val="28"/>
        </w:rPr>
        <w:t>Now, a new effort is underway to create a broad new numbering system that would be accessible and easily understandable to all community college students and cover many more courses. It would ensure that similar courses at any California community college are aligned so they fulfill the same transfer requirements for California State University and the University of California systems. If California adopts the changes, it will join 17 states, including Arizona, Florida and Texas, that have or are developing common course numbers for their lower division courses usually taken in the first two years at public colleges and universities, according to a </w:t>
      </w:r>
      <w:hyperlink r:id="rId5" w:tgtFrame="_blank" w:history="1">
        <w:r w:rsidRPr="00262FA0">
          <w:rPr>
            <w:rFonts w:ascii="minion-pro" w:eastAsia="Times New Roman" w:hAnsi="minion-pro" w:cs="Times New Roman"/>
            <w:color w:val="0000FF"/>
            <w:sz w:val="28"/>
            <w:szCs w:val="28"/>
          </w:rPr>
          <w:t>survey</w:t>
        </w:r>
      </w:hyperlink>
      <w:r w:rsidRPr="00262FA0">
        <w:rPr>
          <w:rFonts w:ascii="minion-pro" w:eastAsia="Times New Roman" w:hAnsi="minion-pro" w:cs="Times New Roman"/>
          <w:color w:val="333333"/>
          <w:sz w:val="28"/>
          <w:szCs w:val="28"/>
        </w:rPr>
        <w:t> by the Education Commission of the States.</w:t>
      </w:r>
    </w:p>
    <w:p w:rsidR="00262FA0" w:rsidRPr="00262FA0" w:rsidRDefault="00262FA0" w:rsidP="00262FA0">
      <w:pPr>
        <w:shd w:val="clear" w:color="auto" w:fill="FFFFFF"/>
        <w:spacing w:after="0" w:line="240" w:lineRule="auto"/>
        <w:rPr>
          <w:rFonts w:ascii="minion-pro" w:eastAsia="Times New Roman" w:hAnsi="minion-pro" w:cs="Times New Roman"/>
          <w:color w:val="333333"/>
          <w:sz w:val="28"/>
          <w:szCs w:val="28"/>
        </w:rPr>
      </w:pPr>
      <w:r w:rsidRPr="00262FA0">
        <w:rPr>
          <w:rFonts w:ascii="minion-pro" w:eastAsia="Times New Roman" w:hAnsi="minion-pro" w:cs="Times New Roman"/>
          <w:color w:val="333333"/>
          <w:sz w:val="28"/>
          <w:szCs w:val="28"/>
        </w:rPr>
        <w:t>A bill in the California state Legislature, </w:t>
      </w:r>
      <w:hyperlink r:id="rId6" w:tgtFrame="_blank" w:history="1">
        <w:r w:rsidRPr="00262FA0">
          <w:rPr>
            <w:rFonts w:ascii="minion-pro" w:eastAsia="Times New Roman" w:hAnsi="minion-pro" w:cs="Times New Roman"/>
            <w:color w:val="0000FF"/>
            <w:sz w:val="28"/>
            <w:szCs w:val="28"/>
          </w:rPr>
          <w:t>AB 1111</w:t>
        </w:r>
      </w:hyperlink>
      <w:r w:rsidRPr="00262FA0">
        <w:rPr>
          <w:rFonts w:ascii="minion-pro" w:eastAsia="Times New Roman" w:hAnsi="minion-pro" w:cs="Times New Roman"/>
          <w:color w:val="333333"/>
          <w:sz w:val="28"/>
          <w:szCs w:val="28"/>
        </w:rPr>
        <w:t>, would require the state’s 116 community colleges to adopt a common numbering system that would cover general education classes and those needed for transfer into various majors at universities. The Assembly’s Higher Education Committee unanimously approved the legislation on April 22.</w:t>
      </w:r>
    </w:p>
    <w:p w:rsidR="00262FA0" w:rsidRPr="00262FA0" w:rsidRDefault="00262FA0" w:rsidP="00262FA0">
      <w:pPr>
        <w:shd w:val="clear" w:color="auto" w:fill="FFFFFF"/>
        <w:spacing w:after="0" w:line="240" w:lineRule="auto"/>
        <w:rPr>
          <w:rFonts w:ascii="minion-pro" w:eastAsia="Times New Roman" w:hAnsi="minion-pro" w:cs="Times New Roman"/>
          <w:color w:val="333333"/>
          <w:sz w:val="28"/>
          <w:szCs w:val="28"/>
        </w:rPr>
      </w:pPr>
      <w:r w:rsidRPr="00262FA0">
        <w:rPr>
          <w:rFonts w:ascii="minion-pro" w:eastAsia="Times New Roman" w:hAnsi="minion-pro" w:cs="Times New Roman"/>
          <w:color w:val="333333"/>
          <w:sz w:val="28"/>
          <w:szCs w:val="28"/>
        </w:rPr>
        <w:t>The idea to phase in a new common numbering system by 2025 was among the recommendations of the recent </w:t>
      </w:r>
      <w:hyperlink r:id="rId7" w:tgtFrame="_blank" w:history="1">
        <w:r w:rsidRPr="00262FA0">
          <w:rPr>
            <w:rFonts w:ascii="minion-pro" w:eastAsia="Times New Roman" w:hAnsi="minion-pro" w:cs="Times New Roman"/>
            <w:color w:val="0000FF"/>
            <w:sz w:val="28"/>
            <w:szCs w:val="28"/>
          </w:rPr>
          <w:t>Recovery with Equity</w:t>
        </w:r>
      </w:hyperlink>
      <w:r w:rsidRPr="00262FA0">
        <w:rPr>
          <w:rFonts w:ascii="minion-pro" w:eastAsia="Times New Roman" w:hAnsi="minion-pro" w:cs="Times New Roman"/>
          <w:color w:val="333333"/>
          <w:sz w:val="28"/>
          <w:szCs w:val="28"/>
        </w:rPr>
        <w:t xml:space="preserve"> report organized by </w:t>
      </w:r>
      <w:proofErr w:type="spellStart"/>
      <w:r w:rsidRPr="00262FA0">
        <w:rPr>
          <w:rFonts w:ascii="minion-pro" w:eastAsia="Times New Roman" w:hAnsi="minion-pro" w:cs="Times New Roman"/>
          <w:color w:val="333333"/>
          <w:sz w:val="28"/>
          <w:szCs w:val="28"/>
        </w:rPr>
        <w:t>Lande</w:t>
      </w:r>
      <w:proofErr w:type="spellEnd"/>
      <w:r w:rsidRPr="00262FA0">
        <w:rPr>
          <w:rFonts w:ascii="minion-pro" w:eastAsia="Times New Roman" w:hAnsi="minion-pro" w:cs="Times New Roman"/>
          <w:color w:val="333333"/>
          <w:sz w:val="28"/>
          <w:szCs w:val="28"/>
        </w:rPr>
        <w:t xml:space="preserve"> Ajose, Gov. Newsom’s senior policy advisor for higher education, and the Governor’s Council for Post-Secondary Education.</w:t>
      </w:r>
    </w:p>
    <w:p w:rsidR="00262FA0" w:rsidRDefault="00262FA0" w:rsidP="00262FA0">
      <w:pPr>
        <w:shd w:val="clear" w:color="auto" w:fill="FFFFFF"/>
        <w:spacing w:after="0" w:line="240" w:lineRule="auto"/>
        <w:rPr>
          <w:rFonts w:ascii="minion-pro" w:eastAsia="Times New Roman" w:hAnsi="minion-pro" w:cs="Times New Roman"/>
          <w:color w:val="333333"/>
          <w:sz w:val="28"/>
          <w:szCs w:val="28"/>
        </w:rPr>
      </w:pPr>
    </w:p>
    <w:p w:rsidR="00262FA0" w:rsidRPr="00262FA0" w:rsidRDefault="00262FA0" w:rsidP="00262FA0">
      <w:pPr>
        <w:shd w:val="clear" w:color="auto" w:fill="FFFFFF"/>
        <w:spacing w:after="0" w:line="240" w:lineRule="auto"/>
        <w:rPr>
          <w:rFonts w:ascii="minion-pro" w:eastAsia="Times New Roman" w:hAnsi="minion-pro" w:cs="Times New Roman"/>
          <w:color w:val="333333"/>
          <w:sz w:val="28"/>
          <w:szCs w:val="28"/>
        </w:rPr>
      </w:pPr>
      <w:r w:rsidRPr="00262FA0">
        <w:rPr>
          <w:rFonts w:ascii="minion-pro" w:eastAsia="Times New Roman" w:hAnsi="minion-pro" w:cs="Times New Roman"/>
          <w:color w:val="333333"/>
          <w:sz w:val="28"/>
          <w:szCs w:val="28"/>
        </w:rPr>
        <w:t xml:space="preserve">Sign-up below to receive breaking news alerts from </w:t>
      </w:r>
      <w:proofErr w:type="spellStart"/>
      <w:r w:rsidRPr="00262FA0">
        <w:rPr>
          <w:rFonts w:ascii="minion-pro" w:eastAsia="Times New Roman" w:hAnsi="minion-pro" w:cs="Times New Roman"/>
          <w:color w:val="333333"/>
          <w:sz w:val="28"/>
          <w:szCs w:val="28"/>
        </w:rPr>
        <w:t>EdSource</w:t>
      </w:r>
      <w:proofErr w:type="spellEnd"/>
      <w:r w:rsidRPr="00262FA0">
        <w:rPr>
          <w:rFonts w:ascii="minion-pro" w:eastAsia="Times New Roman" w:hAnsi="minion-pro" w:cs="Times New Roman"/>
          <w:color w:val="333333"/>
          <w:sz w:val="28"/>
          <w:szCs w:val="28"/>
        </w:rPr>
        <w:t xml:space="preserve"> by text message.</w:t>
      </w:r>
    </w:p>
    <w:p w:rsidR="00262FA0" w:rsidRPr="00262FA0" w:rsidRDefault="00262FA0" w:rsidP="00262FA0">
      <w:pPr>
        <w:shd w:val="clear" w:color="auto" w:fill="FFFFFF"/>
        <w:spacing w:after="0" w:line="240" w:lineRule="auto"/>
        <w:rPr>
          <w:rFonts w:ascii="minion-pro" w:eastAsia="Times New Roman" w:hAnsi="minion-pro" w:cs="Times New Roman"/>
          <w:color w:val="333333"/>
          <w:sz w:val="28"/>
          <w:szCs w:val="28"/>
        </w:rPr>
      </w:pPr>
      <w:r w:rsidRPr="00262FA0">
        <w:rPr>
          <w:rFonts w:ascii="minion-pro" w:eastAsia="Times New Roman" w:hAnsi="minion-pro" w:cs="Times New Roman"/>
          <w:color w:val="333333"/>
          <w:sz w:val="28"/>
          <w:szCs w:val="28"/>
        </w:rPr>
        <w:t>Backers say the change is an important step to help improve the </w:t>
      </w:r>
      <w:hyperlink r:id="rId8" w:tgtFrame="_blank" w:history="1">
        <w:r w:rsidRPr="00262FA0">
          <w:rPr>
            <w:rFonts w:ascii="minion-pro" w:eastAsia="Times New Roman" w:hAnsi="minion-pro" w:cs="Times New Roman"/>
            <w:color w:val="0000FF"/>
            <w:sz w:val="28"/>
            <w:szCs w:val="28"/>
          </w:rPr>
          <w:t>low transfer rates:</w:t>
        </w:r>
      </w:hyperlink>
      <w:r w:rsidRPr="00262FA0">
        <w:rPr>
          <w:rFonts w:ascii="minion-pro" w:eastAsia="Times New Roman" w:hAnsi="minion-pro" w:cs="Times New Roman"/>
          <w:color w:val="333333"/>
          <w:sz w:val="28"/>
          <w:szCs w:val="28"/>
        </w:rPr>
        <w:t> Only 19% of community college students who say they intend to transfer to universities do so within four years. Faculty organizations oppose the change, saying it will divert time and resources from much-needed reforms, such as better financial aid and ensuring students pass their classes, no matter what the catalog numbers. Those professors also criticize it for usurping the authority of the 73 districts that run the community colleges.</w:t>
      </w:r>
    </w:p>
    <w:p w:rsidR="00262FA0" w:rsidRPr="00262FA0" w:rsidRDefault="00262FA0" w:rsidP="00262FA0">
      <w:pPr>
        <w:shd w:val="clear" w:color="auto" w:fill="FFFFFF"/>
        <w:spacing w:before="360" w:after="360" w:line="240" w:lineRule="auto"/>
        <w:rPr>
          <w:rFonts w:ascii="minion-pro" w:eastAsia="Times New Roman" w:hAnsi="minion-pro" w:cs="Times New Roman"/>
          <w:color w:val="333333"/>
          <w:sz w:val="28"/>
          <w:szCs w:val="28"/>
        </w:rPr>
      </w:pPr>
      <w:r w:rsidRPr="00262FA0">
        <w:rPr>
          <w:rFonts w:ascii="minion-pro" w:eastAsia="Times New Roman" w:hAnsi="minion-pro" w:cs="Times New Roman"/>
          <w:color w:val="333333"/>
          <w:sz w:val="28"/>
          <w:szCs w:val="28"/>
        </w:rPr>
        <w:t>The bill’s author, Assemblyman Marc Berman, D-Menlo Park, said the “current system is unnecessarily confusing for students and that the differences in course numbers can unintentionally set students back and create a barrier to timely transfer.” Without a common course numbering system, he added, “students are struggling to transfer credits between institutions and plan out a coherent road map to earning their degree.”</w:t>
      </w:r>
    </w:p>
    <w:p w:rsidR="00262FA0" w:rsidRPr="00262FA0" w:rsidRDefault="00262FA0" w:rsidP="00262FA0">
      <w:pPr>
        <w:shd w:val="clear" w:color="auto" w:fill="FFFFFF"/>
        <w:spacing w:before="360" w:after="360" w:line="240" w:lineRule="auto"/>
        <w:rPr>
          <w:rFonts w:ascii="minion-pro" w:eastAsia="Times New Roman" w:hAnsi="minion-pro" w:cs="Times New Roman"/>
          <w:color w:val="333333"/>
          <w:sz w:val="28"/>
          <w:szCs w:val="28"/>
        </w:rPr>
      </w:pPr>
      <w:r w:rsidRPr="00262FA0">
        <w:rPr>
          <w:rFonts w:ascii="minion-pro" w:eastAsia="Times New Roman" w:hAnsi="minion-pro" w:cs="Times New Roman"/>
          <w:color w:val="333333"/>
          <w:sz w:val="28"/>
          <w:szCs w:val="28"/>
        </w:rPr>
        <w:t>Supporters include William Scroggins, president of Mt. San Antonio College, a Southern California campus with a strong record of transferring students.  Scroggins said that a statewide common numbering system “would be very useful and very empowering for students.” It would especially help students who are the first in their families to attend college and may not receive enough academic counseling on campus, he added.</w:t>
      </w:r>
    </w:p>
    <w:p w:rsidR="00262FA0" w:rsidRPr="00262FA0" w:rsidRDefault="00262FA0" w:rsidP="00262FA0">
      <w:pPr>
        <w:shd w:val="clear" w:color="auto" w:fill="FFFFFF"/>
        <w:spacing w:after="0" w:line="240" w:lineRule="auto"/>
        <w:jc w:val="center"/>
        <w:rPr>
          <w:rFonts w:ascii="minion-pro" w:eastAsia="Times New Roman" w:hAnsi="minion-pro" w:cs="Times New Roman"/>
          <w:color w:val="333333"/>
          <w:sz w:val="28"/>
          <w:szCs w:val="28"/>
        </w:rPr>
      </w:pPr>
      <w:r w:rsidRPr="00262FA0">
        <w:rPr>
          <w:rFonts w:ascii="minion-pro" w:eastAsia="Times New Roman" w:hAnsi="minion-pro" w:cs="Times New Roman"/>
          <w:noProof/>
          <w:color w:val="B81516"/>
          <w:sz w:val="28"/>
          <w:szCs w:val="28"/>
        </w:rPr>
        <w:drawing>
          <wp:inline distT="0" distB="0" distL="0" distR="0" wp14:anchorId="3E872AD4" wp14:editId="5F7B7F4B">
            <wp:extent cx="2400300" cy="1352550"/>
            <wp:effectExtent l="0" t="0" r="0" b="0"/>
            <wp:docPr id="2" name="Picture 2" descr="https://mk0edsource0y23p672y.kinstacdn.com/wp-content/uploads/2021/04/bermanacr-70-bone-marrow-donation-awareness-month-550-05-06-19.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k0edsource0y23p672y.kinstacdn.com/wp-content/uploads/2021/04/bermanacr-70-bone-marrow-donation-awareness-month-550-05-06-19.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1352550"/>
                    </a:xfrm>
                    <a:prstGeom prst="rect">
                      <a:avLst/>
                    </a:prstGeom>
                    <a:noFill/>
                    <a:ln>
                      <a:noFill/>
                    </a:ln>
                  </pic:spPr>
                </pic:pic>
              </a:graphicData>
            </a:graphic>
          </wp:inline>
        </w:drawing>
      </w:r>
    </w:p>
    <w:p w:rsidR="00262FA0" w:rsidRPr="00262FA0" w:rsidRDefault="00262FA0" w:rsidP="00262FA0">
      <w:pPr>
        <w:shd w:val="clear" w:color="auto" w:fill="FFFFFF"/>
        <w:spacing w:after="0" w:line="319" w:lineRule="atLeast"/>
        <w:jc w:val="center"/>
        <w:rPr>
          <w:rFonts w:ascii="minion-pro" w:eastAsia="Times New Roman" w:hAnsi="minion-pro" w:cs="Times New Roman"/>
          <w:color w:val="333333"/>
          <w:sz w:val="28"/>
          <w:szCs w:val="28"/>
        </w:rPr>
      </w:pPr>
      <w:r w:rsidRPr="00262FA0">
        <w:rPr>
          <w:rFonts w:ascii="minion-pro" w:eastAsia="Times New Roman" w:hAnsi="minion-pro" w:cs="Times New Roman"/>
          <w:i/>
          <w:iCs/>
          <w:color w:val="333333"/>
          <w:sz w:val="28"/>
          <w:szCs w:val="28"/>
        </w:rPr>
        <w:t>Assemblyman Marc Berman</w:t>
      </w:r>
    </w:p>
    <w:p w:rsidR="00262FA0" w:rsidRPr="00262FA0" w:rsidRDefault="00262FA0" w:rsidP="00262FA0">
      <w:pPr>
        <w:shd w:val="clear" w:color="auto" w:fill="FFFFFF"/>
        <w:spacing w:after="0" w:line="240" w:lineRule="auto"/>
        <w:rPr>
          <w:rFonts w:ascii="minion-pro" w:eastAsia="Times New Roman" w:hAnsi="minion-pro" w:cs="Times New Roman"/>
          <w:color w:val="333333"/>
          <w:sz w:val="28"/>
          <w:szCs w:val="28"/>
        </w:rPr>
      </w:pPr>
      <w:r w:rsidRPr="00262FA0">
        <w:rPr>
          <w:rFonts w:ascii="minion-pro" w:eastAsia="Times New Roman" w:hAnsi="minion-pro" w:cs="Times New Roman"/>
          <w:color w:val="333333"/>
          <w:sz w:val="28"/>
          <w:szCs w:val="28"/>
        </w:rPr>
        <w:t>The Berman bill faces headwinds as it moves now to the Assembly Appropriations Committee. The statewide community college Academic Senate recently approved a </w:t>
      </w:r>
      <w:hyperlink r:id="rId11" w:tgtFrame="_blank" w:history="1">
        <w:r w:rsidRPr="00262FA0">
          <w:rPr>
            <w:rFonts w:ascii="minion-pro" w:eastAsia="Times New Roman" w:hAnsi="minion-pro" w:cs="Times New Roman"/>
            <w:color w:val="0000FF"/>
            <w:sz w:val="28"/>
            <w:szCs w:val="28"/>
          </w:rPr>
          <w:t>resolution</w:t>
        </w:r>
      </w:hyperlink>
      <w:r w:rsidRPr="00262FA0">
        <w:rPr>
          <w:rFonts w:ascii="minion-pro" w:eastAsia="Times New Roman" w:hAnsi="minion-pro" w:cs="Times New Roman"/>
          <w:color w:val="333333"/>
          <w:sz w:val="28"/>
          <w:szCs w:val="28"/>
        </w:rPr>
        <w:t> to oppose AB 1111, saying it is not needed, would cost too much and “would create undue and unnecessary difficulties for colleges.” Beyond the changes needed in information systems, schedules and transcripts, upward of 150,000 courses would have to be reviewed to see which align and which might have to be changed.</w:t>
      </w:r>
    </w:p>
    <w:p w:rsidR="00262FA0" w:rsidRPr="00262FA0" w:rsidRDefault="00262FA0" w:rsidP="00262FA0">
      <w:pPr>
        <w:shd w:val="clear" w:color="auto" w:fill="FFFFFF"/>
        <w:spacing w:after="0" w:line="240" w:lineRule="auto"/>
        <w:rPr>
          <w:rFonts w:ascii="minion-pro" w:eastAsia="Times New Roman" w:hAnsi="minion-pro" w:cs="Times New Roman"/>
          <w:color w:val="333333"/>
          <w:sz w:val="28"/>
          <w:szCs w:val="28"/>
        </w:rPr>
      </w:pPr>
      <w:r w:rsidRPr="00262FA0">
        <w:rPr>
          <w:rFonts w:ascii="minion-pro" w:eastAsia="Times New Roman" w:hAnsi="minion-pro" w:cs="Times New Roman"/>
          <w:color w:val="333333"/>
          <w:sz w:val="28"/>
          <w:szCs w:val="28"/>
        </w:rPr>
        <w:t>The </w:t>
      </w:r>
      <w:hyperlink r:id="rId12" w:tgtFrame="_blank" w:history="1">
        <w:r w:rsidRPr="00262FA0">
          <w:rPr>
            <w:rFonts w:ascii="minion-pro" w:eastAsia="Times New Roman" w:hAnsi="minion-pro" w:cs="Times New Roman"/>
            <w:color w:val="0000FF"/>
            <w:sz w:val="28"/>
            <w:szCs w:val="28"/>
          </w:rPr>
          <w:t>Faculty Association of California Community Colleges</w:t>
        </w:r>
      </w:hyperlink>
      <w:r w:rsidRPr="00262FA0">
        <w:rPr>
          <w:rFonts w:ascii="minion-pro" w:eastAsia="Times New Roman" w:hAnsi="minion-pro" w:cs="Times New Roman"/>
          <w:color w:val="333333"/>
          <w:sz w:val="28"/>
          <w:szCs w:val="28"/>
        </w:rPr>
        <w:t> also argues against the plan. FACCC’s president-elect, Wendy Brill-</w:t>
      </w:r>
      <w:proofErr w:type="spellStart"/>
      <w:r w:rsidRPr="00262FA0">
        <w:rPr>
          <w:rFonts w:ascii="minion-pro" w:eastAsia="Times New Roman" w:hAnsi="minion-pro" w:cs="Times New Roman"/>
          <w:color w:val="333333"/>
          <w:sz w:val="28"/>
          <w:szCs w:val="28"/>
        </w:rPr>
        <w:t>Wynkoop</w:t>
      </w:r>
      <w:proofErr w:type="spellEnd"/>
      <w:r w:rsidRPr="00262FA0">
        <w:rPr>
          <w:rFonts w:ascii="minion-pro" w:eastAsia="Times New Roman" w:hAnsi="minion-pro" w:cs="Times New Roman"/>
          <w:color w:val="333333"/>
          <w:sz w:val="28"/>
          <w:szCs w:val="28"/>
        </w:rPr>
        <w:t>, said she does not think that the number of students taking wrong or repetitive classes is high enough to “warrant the insane amount of time, effort and money” that statewide course numbering would require.</w:t>
      </w:r>
      <w:r>
        <w:rPr>
          <w:rFonts w:ascii="minion-pro" w:eastAsia="Times New Roman" w:hAnsi="minion-pro" w:cs="Times New Roman"/>
          <w:color w:val="333333"/>
          <w:sz w:val="28"/>
          <w:szCs w:val="28"/>
        </w:rPr>
        <w:t xml:space="preserve">  </w:t>
      </w:r>
      <w:r w:rsidRPr="00262FA0">
        <w:rPr>
          <w:rFonts w:ascii="minion-pro" w:eastAsia="Times New Roman" w:hAnsi="minion-pro" w:cs="Times New Roman"/>
          <w:color w:val="333333"/>
          <w:sz w:val="28"/>
          <w:szCs w:val="28"/>
        </w:rPr>
        <w:t xml:space="preserve">Besides, she and others point to a system that already aims to help students </w:t>
      </w:r>
      <w:r w:rsidRPr="00262FA0">
        <w:rPr>
          <w:rFonts w:ascii="minion-pro" w:eastAsia="Times New Roman" w:hAnsi="minion-pro" w:cs="Times New Roman"/>
          <w:color w:val="333333"/>
          <w:sz w:val="28"/>
          <w:szCs w:val="28"/>
        </w:rPr>
        <w:lastRenderedPageBreak/>
        <w:t>and faculty choose and qualify courses for transfer.</w:t>
      </w:r>
      <w:r w:rsidRPr="00262FA0">
        <w:rPr>
          <w:rFonts w:ascii="minion-pro" w:eastAsia="Times New Roman" w:hAnsi="minion-pro" w:cs="Times New Roman"/>
          <w:b/>
          <w:bCs/>
          <w:color w:val="333333"/>
          <w:sz w:val="28"/>
          <w:szCs w:val="28"/>
        </w:rPr>
        <w:t> </w:t>
      </w:r>
      <w:r w:rsidRPr="00262FA0">
        <w:rPr>
          <w:rFonts w:ascii="minion-pro" w:eastAsia="Times New Roman" w:hAnsi="minion-pro" w:cs="Times New Roman"/>
          <w:color w:val="333333"/>
          <w:sz w:val="28"/>
          <w:szCs w:val="28"/>
        </w:rPr>
        <w:t>That system, called </w:t>
      </w:r>
      <w:hyperlink r:id="rId13" w:tgtFrame="_blank" w:history="1">
        <w:r w:rsidRPr="00262FA0">
          <w:rPr>
            <w:rFonts w:ascii="minion-pro" w:eastAsia="Times New Roman" w:hAnsi="minion-pro" w:cs="Times New Roman"/>
            <w:color w:val="0000FF"/>
            <w:sz w:val="28"/>
            <w:szCs w:val="28"/>
          </w:rPr>
          <w:t>Course Identification Numbering</w:t>
        </w:r>
      </w:hyperlink>
      <w:r w:rsidRPr="00262FA0">
        <w:rPr>
          <w:rFonts w:ascii="minion-pro" w:eastAsia="Times New Roman" w:hAnsi="minion-pro" w:cs="Times New Roman"/>
          <w:color w:val="333333"/>
          <w:sz w:val="28"/>
          <w:szCs w:val="28"/>
        </w:rPr>
        <w:t> or C-ID, works fairly well, they contend, although critics say it is very limited in scope and adds another layer of bureaucracy.</w:t>
      </w:r>
    </w:p>
    <w:p w:rsidR="00262FA0" w:rsidRPr="00262FA0" w:rsidRDefault="00262FA0" w:rsidP="00262FA0">
      <w:pPr>
        <w:shd w:val="clear" w:color="auto" w:fill="FFFFFF"/>
        <w:spacing w:before="360" w:after="360" w:line="240" w:lineRule="auto"/>
        <w:rPr>
          <w:rFonts w:ascii="minion-pro" w:eastAsia="Times New Roman" w:hAnsi="minion-pro" w:cs="Times New Roman"/>
          <w:color w:val="333333"/>
          <w:sz w:val="28"/>
          <w:szCs w:val="28"/>
        </w:rPr>
      </w:pPr>
      <w:r w:rsidRPr="00262FA0">
        <w:rPr>
          <w:rFonts w:ascii="minion-pro" w:eastAsia="Times New Roman" w:hAnsi="minion-pro" w:cs="Times New Roman"/>
          <w:color w:val="333333"/>
          <w:sz w:val="28"/>
          <w:szCs w:val="28"/>
        </w:rPr>
        <w:t>The C-ID system began in 2007 and expanded in response to state legislation. With faculty review, C-ID has produced “descriptors” for about 400 types of lower division and transferable courses, detailing the material to be covered and sometimes the texts and amount of student work. Community colleges send in their courses for review in hopes they will be approved and then assigned to one of those descriptors and its numbers in the background. Classes often wind up with two numbers — that of their home college and the C-ID one.</w:t>
      </w:r>
    </w:p>
    <w:p w:rsidR="00262FA0" w:rsidRPr="00262FA0" w:rsidRDefault="00262FA0" w:rsidP="00262FA0">
      <w:pPr>
        <w:shd w:val="clear" w:color="auto" w:fill="FFFFFF"/>
        <w:spacing w:before="360" w:after="360" w:line="240" w:lineRule="auto"/>
        <w:rPr>
          <w:rFonts w:ascii="minion-pro" w:eastAsia="Times New Roman" w:hAnsi="minion-pro" w:cs="Times New Roman"/>
          <w:color w:val="333333"/>
          <w:sz w:val="28"/>
          <w:szCs w:val="28"/>
        </w:rPr>
      </w:pPr>
      <w:r w:rsidRPr="00262FA0">
        <w:rPr>
          <w:rFonts w:ascii="minion-pro" w:eastAsia="Times New Roman" w:hAnsi="minion-pro" w:cs="Times New Roman"/>
          <w:color w:val="333333"/>
          <w:sz w:val="28"/>
          <w:szCs w:val="28"/>
        </w:rPr>
        <w:t>Nearly 22,000 community college classes now fit into one of the descriptors, but there are more than 150,000 courses across the system, officials said.</w:t>
      </w:r>
    </w:p>
    <w:p w:rsidR="00262FA0" w:rsidRPr="00262FA0" w:rsidRDefault="00262FA0" w:rsidP="00262FA0">
      <w:pPr>
        <w:shd w:val="clear" w:color="auto" w:fill="FFFFFF"/>
        <w:spacing w:after="0" w:line="240" w:lineRule="auto"/>
        <w:rPr>
          <w:rFonts w:ascii="minion-pro" w:eastAsia="Times New Roman" w:hAnsi="minion-pro" w:cs="Times New Roman"/>
          <w:color w:val="333333"/>
          <w:sz w:val="28"/>
          <w:szCs w:val="28"/>
        </w:rPr>
      </w:pPr>
      <w:r w:rsidRPr="00262FA0">
        <w:rPr>
          <w:rFonts w:ascii="minion-pro" w:eastAsia="Times New Roman" w:hAnsi="minion-pro" w:cs="Times New Roman"/>
          <w:color w:val="333333"/>
          <w:sz w:val="28"/>
          <w:szCs w:val="28"/>
        </w:rPr>
        <w:t>More significant, most community college students never see or know about C-ID numbers, although some campus catalogs list them next to their own course numbers. Their counselors and online guides are supposed to inform them whether their courses will help their transfer applications to</w:t>
      </w:r>
      <w:r w:rsidRPr="00262FA0">
        <w:rPr>
          <w:rFonts w:ascii="minion-pro" w:eastAsia="Times New Roman" w:hAnsi="minion-pro" w:cs="Times New Roman"/>
          <w:color w:val="000000"/>
          <w:sz w:val="28"/>
          <w:szCs w:val="28"/>
        </w:rPr>
        <w:t> </w:t>
      </w:r>
      <w:r w:rsidRPr="00262FA0">
        <w:rPr>
          <w:rFonts w:ascii="minion-pro" w:eastAsia="Times New Roman" w:hAnsi="minion-pro" w:cs="Times New Roman"/>
          <w:color w:val="333333"/>
          <w:sz w:val="28"/>
          <w:szCs w:val="28"/>
        </w:rPr>
        <w:t>one of the 23 California State University campuses.</w:t>
      </w:r>
    </w:p>
    <w:p w:rsidR="00262FA0" w:rsidRPr="00262FA0" w:rsidRDefault="00262FA0" w:rsidP="00262FA0">
      <w:pPr>
        <w:shd w:val="clear" w:color="auto" w:fill="FFFFFF"/>
        <w:spacing w:before="360" w:after="360" w:line="240" w:lineRule="auto"/>
        <w:rPr>
          <w:rFonts w:ascii="minion-pro" w:eastAsia="Times New Roman" w:hAnsi="minion-pro" w:cs="Times New Roman"/>
          <w:color w:val="333333"/>
          <w:sz w:val="28"/>
          <w:szCs w:val="28"/>
        </w:rPr>
      </w:pPr>
      <w:r w:rsidRPr="00262FA0">
        <w:rPr>
          <w:rFonts w:ascii="minion-pro" w:eastAsia="Times New Roman" w:hAnsi="minion-pro" w:cs="Times New Roman"/>
          <w:color w:val="333333"/>
          <w:sz w:val="28"/>
          <w:szCs w:val="28"/>
        </w:rPr>
        <w:t>For example, College Composition is ENGL 100 or 110 in the C-ID system. It is described as an “introductory course that offers instruction in expository and argumentative writing, appropriate and effective use of language, close reading, cogent thinking, research strategies, information literacy, and documentation.” Students are supposed to be assigned at least 6,000 words of formal writing.</w:t>
      </w:r>
    </w:p>
    <w:p w:rsidR="00262FA0" w:rsidRPr="00262FA0" w:rsidRDefault="00262FA0" w:rsidP="00262FA0">
      <w:pPr>
        <w:shd w:val="clear" w:color="auto" w:fill="FFFFFF"/>
        <w:spacing w:before="360" w:after="360" w:line="240" w:lineRule="auto"/>
        <w:rPr>
          <w:rFonts w:ascii="minion-pro" w:eastAsia="Times New Roman" w:hAnsi="minion-pro" w:cs="Times New Roman"/>
          <w:color w:val="333333"/>
          <w:sz w:val="28"/>
          <w:szCs w:val="28"/>
        </w:rPr>
      </w:pPr>
      <w:r w:rsidRPr="00262FA0">
        <w:rPr>
          <w:rFonts w:ascii="minion-pro" w:eastAsia="Times New Roman" w:hAnsi="minion-pro" w:cs="Times New Roman"/>
          <w:color w:val="333333"/>
          <w:sz w:val="28"/>
          <w:szCs w:val="28"/>
        </w:rPr>
        <w:t>Students statewide see differing courses numbers in their home college course catalogs: ENGL 1A, ENGWR 480, ENG 200, ENGL 150 and others that fit the C-ID slot.</w:t>
      </w:r>
    </w:p>
    <w:p w:rsidR="00262FA0" w:rsidRPr="00262FA0" w:rsidRDefault="00262FA0" w:rsidP="00262FA0">
      <w:pPr>
        <w:shd w:val="clear" w:color="auto" w:fill="FFFFFF"/>
        <w:spacing w:before="360" w:after="360" w:line="240" w:lineRule="auto"/>
        <w:rPr>
          <w:rFonts w:ascii="minion-pro" w:eastAsia="Times New Roman" w:hAnsi="minion-pro" w:cs="Times New Roman"/>
          <w:color w:val="333333"/>
          <w:sz w:val="28"/>
          <w:szCs w:val="28"/>
        </w:rPr>
      </w:pPr>
      <w:r w:rsidRPr="00262FA0">
        <w:rPr>
          <w:rFonts w:ascii="minion-pro" w:eastAsia="Times New Roman" w:hAnsi="minion-pro" w:cs="Times New Roman"/>
          <w:color w:val="333333"/>
          <w:sz w:val="28"/>
          <w:szCs w:val="28"/>
        </w:rPr>
        <w:t>Sound complicated? That’s the point for reforming it, according to Jessie Ryan, executive vice president of the Campaign for College Opportunity, a nonprofit that seeks to expand college attendance and success. The C-ID system was developed as a tool for counselors and faculty and it wrongly “assumes students and families are savvy enough to navigate a fairly complex online portal,” she said. Berman’s proposal, she added, will help assure students “that a class will count and is recognized.”</w:t>
      </w:r>
    </w:p>
    <w:p w:rsidR="00262FA0" w:rsidRPr="00262FA0" w:rsidRDefault="00262FA0" w:rsidP="00262FA0">
      <w:pPr>
        <w:shd w:val="clear" w:color="auto" w:fill="FFFFFF"/>
        <w:spacing w:before="360" w:after="360" w:line="240" w:lineRule="auto"/>
        <w:rPr>
          <w:rFonts w:ascii="minion-pro" w:eastAsia="Times New Roman" w:hAnsi="minion-pro" w:cs="Times New Roman"/>
          <w:color w:val="333333"/>
          <w:sz w:val="28"/>
          <w:szCs w:val="28"/>
        </w:rPr>
      </w:pPr>
      <w:r w:rsidRPr="00262FA0">
        <w:rPr>
          <w:rFonts w:ascii="minion-pro" w:eastAsia="Times New Roman" w:hAnsi="minion-pro" w:cs="Times New Roman"/>
          <w:color w:val="333333"/>
          <w:sz w:val="28"/>
          <w:szCs w:val="28"/>
        </w:rPr>
        <w:t xml:space="preserve">Berman acknowledges many details remain to be worked out, including cost and timing. But he said he does not think those will be a barrier. The C-ID system and </w:t>
      </w:r>
      <w:r w:rsidRPr="00262FA0">
        <w:rPr>
          <w:rFonts w:ascii="minion-pro" w:eastAsia="Times New Roman" w:hAnsi="minion-pro" w:cs="Times New Roman"/>
          <w:color w:val="333333"/>
          <w:sz w:val="28"/>
          <w:szCs w:val="28"/>
        </w:rPr>
        <w:lastRenderedPageBreak/>
        <w:t>nomenclature can be the base of new public-facing numbers, according to the assemblyman. “We want to build upon something that already exists,” he said.</w:t>
      </w:r>
    </w:p>
    <w:p w:rsidR="00262FA0" w:rsidRPr="00262FA0" w:rsidRDefault="00262FA0" w:rsidP="00262FA0">
      <w:pPr>
        <w:shd w:val="clear" w:color="auto" w:fill="FFFFFF"/>
        <w:spacing w:before="360" w:after="360" w:line="240" w:lineRule="auto"/>
        <w:rPr>
          <w:rFonts w:ascii="minion-pro" w:eastAsia="Times New Roman" w:hAnsi="minion-pro" w:cs="Times New Roman"/>
          <w:color w:val="333333"/>
          <w:sz w:val="28"/>
          <w:szCs w:val="28"/>
        </w:rPr>
      </w:pPr>
      <w:r w:rsidRPr="00262FA0">
        <w:rPr>
          <w:rFonts w:ascii="minion-pro" w:eastAsia="Times New Roman" w:hAnsi="minion-pro" w:cs="Times New Roman"/>
          <w:color w:val="333333"/>
          <w:sz w:val="28"/>
          <w:szCs w:val="28"/>
        </w:rPr>
        <w:t>If it passes, the reform will face complications of what specific numbers to use and how to treat classes at the three community colleges in the state that operate on an academic calendar of three “quarter” terms in a school year rather than two semesters.</w:t>
      </w:r>
    </w:p>
    <w:p w:rsidR="00262FA0" w:rsidRPr="00262FA0" w:rsidRDefault="00262FA0" w:rsidP="00262FA0">
      <w:pPr>
        <w:shd w:val="clear" w:color="auto" w:fill="FFFFFF"/>
        <w:spacing w:before="360" w:after="360" w:line="240" w:lineRule="auto"/>
        <w:rPr>
          <w:rFonts w:ascii="minion-pro" w:eastAsia="Times New Roman" w:hAnsi="minion-pro" w:cs="Times New Roman"/>
          <w:color w:val="333333"/>
          <w:sz w:val="28"/>
          <w:szCs w:val="28"/>
        </w:rPr>
      </w:pPr>
      <w:r w:rsidRPr="00262FA0">
        <w:rPr>
          <w:rFonts w:ascii="minion-pro" w:eastAsia="Times New Roman" w:hAnsi="minion-pro" w:cs="Times New Roman"/>
          <w:color w:val="333333"/>
          <w:sz w:val="28"/>
          <w:szCs w:val="28"/>
        </w:rPr>
        <w:t xml:space="preserve">A trial run of sorts took place 17 years ago. The Los Rios Community College District at that time developed a new course-numbering system for its then three colleges: Sacramento City, American River and </w:t>
      </w:r>
      <w:proofErr w:type="spellStart"/>
      <w:r w:rsidRPr="00262FA0">
        <w:rPr>
          <w:rFonts w:ascii="minion-pro" w:eastAsia="Times New Roman" w:hAnsi="minion-pro" w:cs="Times New Roman"/>
          <w:color w:val="333333"/>
          <w:sz w:val="28"/>
          <w:szCs w:val="28"/>
        </w:rPr>
        <w:t>Cosumnes</w:t>
      </w:r>
      <w:proofErr w:type="spellEnd"/>
      <w:r w:rsidRPr="00262FA0">
        <w:rPr>
          <w:rFonts w:ascii="minion-pro" w:eastAsia="Times New Roman" w:hAnsi="minion-pro" w:cs="Times New Roman"/>
          <w:color w:val="333333"/>
          <w:sz w:val="28"/>
          <w:szCs w:val="28"/>
        </w:rPr>
        <w:t xml:space="preserve"> River. (A fourth, Folsom Lake, was added later.)</w:t>
      </w:r>
    </w:p>
    <w:p w:rsidR="00262FA0" w:rsidRPr="00262FA0" w:rsidRDefault="00262FA0" w:rsidP="00262FA0">
      <w:pPr>
        <w:shd w:val="clear" w:color="auto" w:fill="FFFFFF"/>
        <w:spacing w:before="360" w:after="360" w:line="240" w:lineRule="auto"/>
        <w:rPr>
          <w:rFonts w:ascii="minion-pro" w:eastAsia="Times New Roman" w:hAnsi="minion-pro" w:cs="Times New Roman"/>
          <w:color w:val="333333"/>
          <w:sz w:val="28"/>
          <w:szCs w:val="28"/>
        </w:rPr>
      </w:pPr>
      <w:r w:rsidRPr="00262FA0">
        <w:rPr>
          <w:rFonts w:ascii="minion-pro" w:eastAsia="Times New Roman" w:hAnsi="minion-pro" w:cs="Times New Roman"/>
          <w:color w:val="333333"/>
          <w:sz w:val="28"/>
          <w:szCs w:val="28"/>
        </w:rPr>
        <w:t>The schools shared some common numberings but also had conflicts and differences. It took much planning to create across-the-board replacements, according to Kale Braden, who was on the planning task force at the time and is now American River’s associate vice president of instruction and enrollment management.</w:t>
      </w:r>
    </w:p>
    <w:p w:rsidR="00262FA0" w:rsidRPr="00262FA0" w:rsidRDefault="00262FA0" w:rsidP="00262FA0">
      <w:pPr>
        <w:shd w:val="clear" w:color="auto" w:fill="FFFFFF"/>
        <w:spacing w:before="360" w:after="360" w:line="240" w:lineRule="auto"/>
        <w:rPr>
          <w:rFonts w:ascii="minion-pro" w:eastAsia="Times New Roman" w:hAnsi="minion-pro" w:cs="Times New Roman"/>
          <w:color w:val="333333"/>
          <w:sz w:val="28"/>
          <w:szCs w:val="28"/>
        </w:rPr>
      </w:pPr>
      <w:r w:rsidRPr="00262FA0">
        <w:rPr>
          <w:rFonts w:ascii="minion-pro" w:eastAsia="Times New Roman" w:hAnsi="minion-pro" w:cs="Times New Roman"/>
          <w:color w:val="333333"/>
          <w:sz w:val="28"/>
          <w:szCs w:val="28"/>
        </w:rPr>
        <w:t>The district wound up better off with the new system, but Braden worries how that could work statewide. “It was a pretty heavy lift for just the three colleges,” he said. “I have trouble imagining the lift” for all the colleges across California.</w:t>
      </w:r>
    </w:p>
    <w:p w:rsidR="00262FA0" w:rsidRPr="00262FA0" w:rsidRDefault="00262FA0" w:rsidP="00262FA0">
      <w:pPr>
        <w:shd w:val="clear" w:color="auto" w:fill="FFFFFF"/>
        <w:spacing w:before="360" w:after="360" w:line="240" w:lineRule="auto"/>
        <w:rPr>
          <w:rFonts w:ascii="minion-pro" w:eastAsia="Times New Roman" w:hAnsi="minion-pro" w:cs="Times New Roman"/>
          <w:color w:val="333333"/>
          <w:sz w:val="28"/>
          <w:szCs w:val="28"/>
        </w:rPr>
      </w:pPr>
      <w:r w:rsidRPr="00262FA0">
        <w:rPr>
          <w:rFonts w:ascii="minion-pro" w:eastAsia="Times New Roman" w:hAnsi="minion-pro" w:cs="Times New Roman"/>
          <w:color w:val="333333"/>
          <w:sz w:val="28"/>
          <w:szCs w:val="28"/>
        </w:rPr>
        <w:t>The Los Rios district’s chancellor, Brian King, testified in favor of AB 1111 at the committee hearing. He described the change at his colleges as a success because it helps students get to a four-year degree.  “Simplicity benefits our students,” he said.</w:t>
      </w:r>
    </w:p>
    <w:p w:rsidR="00262FA0" w:rsidRPr="00262FA0" w:rsidRDefault="00262FA0" w:rsidP="00262FA0">
      <w:pPr>
        <w:shd w:val="clear" w:color="auto" w:fill="FFFFFF"/>
        <w:spacing w:after="0" w:line="240" w:lineRule="auto"/>
        <w:jc w:val="center"/>
        <w:rPr>
          <w:rFonts w:ascii="minion-pro" w:eastAsia="Times New Roman" w:hAnsi="minion-pro" w:cs="Times New Roman"/>
          <w:color w:val="333333"/>
          <w:sz w:val="24"/>
          <w:szCs w:val="24"/>
        </w:rPr>
      </w:pPr>
      <w:r w:rsidRPr="00262FA0">
        <w:rPr>
          <w:rFonts w:ascii="minion-pro" w:eastAsia="Times New Roman" w:hAnsi="minion-pro" w:cs="Times New Roman"/>
          <w:noProof/>
          <w:color w:val="333333"/>
          <w:sz w:val="24"/>
          <w:szCs w:val="24"/>
        </w:rPr>
        <w:drawing>
          <wp:inline distT="0" distB="0" distL="0" distR="0" wp14:anchorId="6282E280" wp14:editId="086DED64">
            <wp:extent cx="1428750" cy="1428750"/>
            <wp:effectExtent l="0" t="0" r="0" b="0"/>
            <wp:docPr id="3" name="Picture 3" descr="https://mk0edsource0y23p672y.kinstacdn.com/wp-content/uploads/2016/10/larry-gordon_thumb-150x1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k0edsource0y23p672y.kinstacdn.com/wp-content/uploads/2016/10/larry-gordon_thumb-150x150.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710980" w:rsidRPr="00262FA0" w:rsidRDefault="00262FA0" w:rsidP="00262FA0">
      <w:pPr>
        <w:shd w:val="clear" w:color="auto" w:fill="FFFFFF"/>
        <w:spacing w:after="0" w:line="240" w:lineRule="auto"/>
        <w:jc w:val="center"/>
        <w:outlineLvl w:val="2"/>
        <w:rPr>
          <w:rFonts w:ascii="Arial" w:eastAsia="Times New Roman" w:hAnsi="Arial" w:cs="Arial"/>
          <w:b/>
          <w:bCs/>
          <w:color w:val="333333"/>
          <w:sz w:val="29"/>
          <w:szCs w:val="29"/>
        </w:rPr>
      </w:pPr>
      <w:hyperlink r:id="rId15" w:history="1">
        <w:r w:rsidRPr="00262FA0">
          <w:rPr>
            <w:rFonts w:ascii="Arial" w:eastAsia="Times New Roman" w:hAnsi="Arial" w:cs="Arial"/>
            <w:b/>
            <w:bCs/>
            <w:color w:val="B81516"/>
            <w:sz w:val="29"/>
            <w:szCs w:val="29"/>
          </w:rPr>
          <w:t>Larry Gordon</w:t>
        </w:r>
      </w:hyperlink>
      <w:r w:rsidRPr="00262FA0">
        <w:rPr>
          <w:rFonts w:ascii="Arial" w:eastAsia="Times New Roman" w:hAnsi="Arial" w:cs="Arial"/>
          <w:b/>
          <w:bCs/>
          <w:color w:val="333333"/>
          <w:sz w:val="29"/>
          <w:szCs w:val="29"/>
        </w:rPr>
        <w:t> covers higher education, with a focus on challenges students face in entering and finishing college.</w:t>
      </w:r>
    </w:p>
    <w:sectPr w:rsidR="00710980" w:rsidRPr="00262FA0" w:rsidSect="00262FA0">
      <w:pgSz w:w="12240" w:h="15840"/>
      <w:pgMar w:top="990" w:right="117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FA0"/>
    <w:rsid w:val="00262FA0"/>
    <w:rsid w:val="00710980"/>
    <w:rsid w:val="00D7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4F0A9"/>
  <w15:chartTrackingRefBased/>
  <w15:docId w15:val="{0C34A646-2B96-4A91-BF74-A5DF4C7F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635302">
      <w:bodyDiv w:val="1"/>
      <w:marLeft w:val="0"/>
      <w:marRight w:val="0"/>
      <w:marTop w:val="0"/>
      <w:marBottom w:val="0"/>
      <w:divBdr>
        <w:top w:val="none" w:sz="0" w:space="0" w:color="auto"/>
        <w:left w:val="none" w:sz="0" w:space="0" w:color="auto"/>
        <w:bottom w:val="none" w:sz="0" w:space="0" w:color="auto"/>
        <w:right w:val="none" w:sz="0" w:space="0" w:color="auto"/>
      </w:divBdr>
      <w:divsChild>
        <w:div w:id="2052921461">
          <w:marLeft w:val="2789"/>
          <w:marRight w:val="0"/>
          <w:marTop w:val="0"/>
          <w:marBottom w:val="270"/>
          <w:divBdr>
            <w:top w:val="none" w:sz="0" w:space="0" w:color="auto"/>
            <w:left w:val="none" w:sz="0" w:space="0" w:color="auto"/>
            <w:bottom w:val="single" w:sz="6" w:space="8" w:color="BDBDBD"/>
            <w:right w:val="none" w:sz="0" w:space="0" w:color="auto"/>
          </w:divBdr>
        </w:div>
        <w:div w:id="422265980">
          <w:marLeft w:val="0"/>
          <w:marRight w:val="0"/>
          <w:marTop w:val="0"/>
          <w:marBottom w:val="720"/>
          <w:divBdr>
            <w:top w:val="none" w:sz="0" w:space="0" w:color="auto"/>
            <w:left w:val="none" w:sz="0" w:space="0" w:color="auto"/>
            <w:bottom w:val="none" w:sz="0" w:space="0" w:color="auto"/>
            <w:right w:val="none" w:sz="0" w:space="0" w:color="auto"/>
          </w:divBdr>
          <w:divsChild>
            <w:div w:id="1196042590">
              <w:marLeft w:val="0"/>
              <w:marRight w:val="0"/>
              <w:marTop w:val="0"/>
              <w:marBottom w:val="0"/>
              <w:divBdr>
                <w:top w:val="none" w:sz="0" w:space="0" w:color="auto"/>
                <w:left w:val="none" w:sz="0" w:space="0" w:color="auto"/>
                <w:bottom w:val="none" w:sz="0" w:space="0" w:color="auto"/>
                <w:right w:val="none" w:sz="0" w:space="0" w:color="auto"/>
              </w:divBdr>
            </w:div>
          </w:divsChild>
        </w:div>
        <w:div w:id="1608077486">
          <w:marLeft w:val="0"/>
          <w:marRight w:val="0"/>
          <w:marTop w:val="0"/>
          <w:marBottom w:val="0"/>
          <w:divBdr>
            <w:top w:val="none" w:sz="0" w:space="0" w:color="auto"/>
            <w:left w:val="none" w:sz="0" w:space="0" w:color="auto"/>
            <w:bottom w:val="none" w:sz="0" w:space="0" w:color="auto"/>
            <w:right w:val="none" w:sz="0" w:space="0" w:color="auto"/>
          </w:divBdr>
          <w:divsChild>
            <w:div w:id="1713918897">
              <w:marLeft w:val="0"/>
              <w:marRight w:val="0"/>
              <w:marTop w:val="0"/>
              <w:marBottom w:val="420"/>
              <w:divBdr>
                <w:top w:val="none" w:sz="0" w:space="0" w:color="auto"/>
                <w:left w:val="none" w:sz="0" w:space="0" w:color="auto"/>
                <w:bottom w:val="none" w:sz="0" w:space="0" w:color="auto"/>
                <w:right w:val="none" w:sz="0" w:space="0" w:color="auto"/>
              </w:divBdr>
              <w:divsChild>
                <w:div w:id="1705204174">
                  <w:marLeft w:val="0"/>
                  <w:marRight w:val="0"/>
                  <w:marTop w:val="0"/>
                  <w:marBottom w:val="0"/>
                  <w:divBdr>
                    <w:top w:val="none" w:sz="0" w:space="0" w:color="auto"/>
                    <w:left w:val="none" w:sz="0" w:space="0" w:color="auto"/>
                    <w:bottom w:val="none" w:sz="0" w:space="0" w:color="auto"/>
                    <w:right w:val="none" w:sz="0" w:space="0" w:color="auto"/>
                  </w:divBdr>
                </w:div>
              </w:divsChild>
            </w:div>
            <w:div w:id="374425009">
              <w:marLeft w:val="0"/>
              <w:marRight w:val="0"/>
              <w:marTop w:val="780"/>
              <w:marBottom w:val="0"/>
              <w:divBdr>
                <w:top w:val="none" w:sz="0" w:space="0" w:color="auto"/>
                <w:left w:val="none" w:sz="0" w:space="0" w:color="auto"/>
                <w:bottom w:val="none" w:sz="0" w:space="0" w:color="auto"/>
                <w:right w:val="none" w:sz="0" w:space="0" w:color="auto"/>
              </w:divBdr>
              <w:divsChild>
                <w:div w:id="1293754311">
                  <w:marLeft w:val="0"/>
                  <w:marRight w:val="0"/>
                  <w:marTop w:val="0"/>
                  <w:marBottom w:val="0"/>
                  <w:divBdr>
                    <w:top w:val="none" w:sz="0" w:space="0" w:color="auto"/>
                    <w:left w:val="none" w:sz="0" w:space="0" w:color="auto"/>
                    <w:bottom w:val="none" w:sz="0" w:space="0" w:color="auto"/>
                    <w:right w:val="none" w:sz="0" w:space="0" w:color="auto"/>
                  </w:divBdr>
                </w:div>
              </w:divsChild>
            </w:div>
            <w:div w:id="509760267">
              <w:marLeft w:val="444"/>
              <w:marRight w:val="0"/>
              <w:marTop w:val="0"/>
              <w:marBottom w:val="0"/>
              <w:divBdr>
                <w:top w:val="none" w:sz="0" w:space="0" w:color="auto"/>
                <w:left w:val="none" w:sz="0" w:space="0" w:color="auto"/>
                <w:bottom w:val="none" w:sz="0" w:space="0" w:color="auto"/>
                <w:right w:val="none" w:sz="0" w:space="0" w:color="auto"/>
              </w:divBdr>
              <w:divsChild>
                <w:div w:id="10088701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ic.org/publication/increasing-community-college-transfers-progress-and-barriers/" TargetMode="External"/><Relationship Id="rId13" Type="http://schemas.openxmlformats.org/officeDocument/2006/relationships/hyperlink" Target="https://c-id.net/courses/search" TargetMode="External"/><Relationship Id="rId3" Type="http://schemas.openxmlformats.org/officeDocument/2006/relationships/webSettings" Target="webSettings.xml"/><Relationship Id="rId7" Type="http://schemas.openxmlformats.org/officeDocument/2006/relationships/hyperlink" Target="https://www.capostsecondaryforall.org/wp-content/uploads/2021/02/Recovery-with-Equity_2021Feb15.pdf" TargetMode="External"/><Relationship Id="rId12" Type="http://schemas.openxmlformats.org/officeDocument/2006/relationships/hyperlink" Target="https://www.faccc.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ginfo.legislature.ca.gov/faces/billNavClient.xhtml?bill_id=202120220AB1111" TargetMode="External"/><Relationship Id="rId11" Type="http://schemas.openxmlformats.org/officeDocument/2006/relationships/hyperlink" Target="https://www.asccc.org/sites/default/files/Resolutions%20Spring%202021%20Adopted%20Resolutions.pdf" TargetMode="External"/><Relationship Id="rId5" Type="http://schemas.openxmlformats.org/officeDocument/2006/relationships/hyperlink" Target="http://ecs.force.com/mbdata/MBquest3RTA?Rep=TR1802" TargetMode="External"/><Relationship Id="rId15" Type="http://schemas.openxmlformats.org/officeDocument/2006/relationships/hyperlink" Target="https://edsource.org/author/lgordon" TargetMode="External"/><Relationship Id="rId10" Type="http://schemas.openxmlformats.org/officeDocument/2006/relationships/image" Target="media/image1.jpeg"/><Relationship Id="rId4" Type="http://schemas.openxmlformats.org/officeDocument/2006/relationships/hyperlink" Target="https://edsource.org/topic/college-careers" TargetMode="External"/><Relationship Id="rId9" Type="http://schemas.openxmlformats.org/officeDocument/2006/relationships/hyperlink" Target="https://mk0edsource0y23p672y.kinstacdn.com/wp-content/uploads/2021/04/bermanacr-70-bone-marrow-donation-awareness-month-550-05-06-19.jpg"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1480</Words>
  <Characters>8440</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What’s in a college course number? Lots of confusion</vt:lpstr>
      <vt:lpstr>    Bill would direct similar community college courses across the state to carry sa</vt:lpstr>
      <vt:lpstr>        COLLEGE &amp; CAREERS</vt:lpstr>
      <vt:lpstr>        Larry Gordon covers higher education, with a focus on challenges students face i</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Duldulao, Abigail</dc:creator>
  <cp:keywords/>
  <dc:description/>
  <cp:lastModifiedBy>Duldulao, Abigail</cp:lastModifiedBy>
  <cp:revision>2</cp:revision>
  <dcterms:created xsi:type="dcterms:W3CDTF">2021-05-01T20:07:00Z</dcterms:created>
  <dcterms:modified xsi:type="dcterms:W3CDTF">2021-05-01T20:23:00Z</dcterms:modified>
</cp:coreProperties>
</file>