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A5" w:rsidRPr="00831C15" w:rsidRDefault="00527375">
      <w:pPr>
        <w:rPr>
          <w:rFonts w:ascii="Calibri" w:hAnsi="Calibri"/>
        </w:rPr>
      </w:pPr>
      <w:bookmarkStart w:id="0" w:name="_GoBack"/>
      <w:bookmarkEnd w:id="0"/>
      <w:r w:rsidRPr="00831C15">
        <w:rPr>
          <w:rFonts w:ascii="Calibri" w:hAnsi="Calibri"/>
        </w:rPr>
        <w:t>Joanna Miller, District Dean of Distance Education</w:t>
      </w:r>
    </w:p>
    <w:p w:rsidR="00527375" w:rsidRPr="00831C15" w:rsidRDefault="00527375" w:rsidP="00527375">
      <w:pPr>
        <w:rPr>
          <w:rFonts w:ascii="Calibri" w:hAnsi="Calibri"/>
        </w:rPr>
      </w:pPr>
      <w:r w:rsidRPr="00831C15">
        <w:rPr>
          <w:rFonts w:ascii="Calibri" w:hAnsi="Calibri"/>
        </w:rPr>
        <w:t>Brief for LM</w:t>
      </w:r>
      <w:r w:rsidR="00831C15">
        <w:rPr>
          <w:rFonts w:ascii="Calibri" w:hAnsi="Calibri"/>
        </w:rPr>
        <w:t>C Academic Senate on 02-04-19</w:t>
      </w:r>
    </w:p>
    <w:p w:rsidR="00527375" w:rsidRPr="00831C15" w:rsidRDefault="00831C15" w:rsidP="00527375">
      <w:pPr>
        <w:rPr>
          <w:rFonts w:ascii="Calibri" w:hAnsi="Calibri"/>
        </w:rPr>
      </w:pPr>
      <w:r>
        <w:rPr>
          <w:rFonts w:ascii="Calibri" w:hAnsi="Calibri"/>
        </w:rPr>
        <w:t xml:space="preserve">Topic: </w:t>
      </w:r>
      <w:r w:rsidR="00527375" w:rsidRPr="00831C15">
        <w:rPr>
          <w:rFonts w:ascii="Calibri" w:hAnsi="Calibri"/>
          <w:b/>
          <w:color w:val="1F497D" w:themeColor="text2"/>
        </w:rPr>
        <w:t>California Virtual College-Online Education Initiative</w:t>
      </w:r>
    </w:p>
    <w:p w:rsidR="00527375" w:rsidRPr="00831C15" w:rsidRDefault="00527375" w:rsidP="00527375">
      <w:pPr>
        <w:rPr>
          <w:rFonts w:ascii="Calibri" w:hAnsi="Calibri"/>
        </w:rPr>
      </w:pPr>
    </w:p>
    <w:p w:rsidR="00527375" w:rsidRPr="009368A6" w:rsidRDefault="00527375" w:rsidP="00527375">
      <w:pPr>
        <w:rPr>
          <w:rFonts w:ascii="Calibri" w:hAnsi="Calibri"/>
          <w:b/>
          <w:i/>
          <w:color w:val="000000" w:themeColor="text1"/>
        </w:rPr>
      </w:pPr>
      <w:r w:rsidRPr="00831C15">
        <w:rPr>
          <w:rFonts w:ascii="Calibri" w:hAnsi="Calibri"/>
          <w:b/>
          <w:color w:val="1F497D" w:themeColor="text2"/>
        </w:rPr>
        <w:t>CVC-OEI Mission Statement</w:t>
      </w:r>
      <w:r w:rsidRPr="009368A6">
        <w:rPr>
          <w:rFonts w:ascii="Calibri" w:hAnsi="Calibri"/>
          <w:b/>
          <w:i/>
          <w:color w:val="1F497D" w:themeColor="text2"/>
        </w:rPr>
        <w:t>:</w:t>
      </w:r>
      <w:r w:rsidRPr="009368A6">
        <w:rPr>
          <w:rFonts w:ascii="Calibri" w:hAnsi="Calibri"/>
          <w:i/>
        </w:rPr>
        <w:t xml:space="preserve">  </w:t>
      </w:r>
      <w:r w:rsidRPr="009368A6">
        <w:rPr>
          <w:rFonts w:ascii="Calibri" w:hAnsi="Calibri" w:cs="Times Roman"/>
          <w:b/>
          <w:i/>
          <w:color w:val="000000" w:themeColor="text1"/>
        </w:rPr>
        <w:t xml:space="preserve">Increase student </w:t>
      </w:r>
      <w:r w:rsidRPr="009368A6">
        <w:rPr>
          <w:rFonts w:ascii="Calibri" w:hAnsi="Calibri" w:cs="Times Bold"/>
          <w:b/>
          <w:bCs/>
          <w:i/>
          <w:color w:val="000000" w:themeColor="text1"/>
        </w:rPr>
        <w:t>completion</w:t>
      </w:r>
      <w:r w:rsidRPr="009368A6">
        <w:rPr>
          <w:rFonts w:ascii="Calibri" w:hAnsi="Calibri" w:cs="Times Roman"/>
          <w:b/>
          <w:i/>
          <w:color w:val="000000" w:themeColor="text1"/>
        </w:rPr>
        <w:t xml:space="preserve"> of transfer degrees by working together to increase </w:t>
      </w:r>
      <w:r w:rsidRPr="009368A6">
        <w:rPr>
          <w:rFonts w:ascii="Calibri" w:hAnsi="Calibri" w:cs="Times Bold"/>
          <w:b/>
          <w:bCs/>
          <w:i/>
          <w:color w:val="000000" w:themeColor="text1"/>
        </w:rPr>
        <w:t>access</w:t>
      </w:r>
      <w:r w:rsidRPr="009368A6">
        <w:rPr>
          <w:rFonts w:ascii="Calibri" w:hAnsi="Calibri" w:cs="Times Roman"/>
          <w:b/>
          <w:i/>
          <w:color w:val="000000" w:themeColor="text1"/>
        </w:rPr>
        <w:t xml:space="preserve"> to </w:t>
      </w:r>
      <w:r w:rsidRPr="009368A6">
        <w:rPr>
          <w:rFonts w:ascii="Calibri" w:hAnsi="Calibri" w:cs="Times Bold"/>
          <w:b/>
          <w:bCs/>
          <w:i/>
          <w:color w:val="000000" w:themeColor="text1"/>
        </w:rPr>
        <w:t>quality</w:t>
      </w:r>
      <w:r w:rsidRPr="009368A6">
        <w:rPr>
          <w:rFonts w:ascii="Calibri" w:hAnsi="Calibri" w:cs="Times Roman"/>
          <w:b/>
          <w:i/>
          <w:color w:val="000000" w:themeColor="text1"/>
        </w:rPr>
        <w:t xml:space="preserve"> online </w:t>
      </w:r>
      <w:r w:rsidRPr="009368A6">
        <w:rPr>
          <w:rFonts w:ascii="Calibri" w:hAnsi="Calibri" w:cs="Times Bold"/>
          <w:b/>
          <w:bCs/>
          <w:i/>
          <w:color w:val="000000" w:themeColor="text1"/>
        </w:rPr>
        <w:t>courses</w:t>
      </w:r>
      <w:r w:rsidRPr="009368A6">
        <w:rPr>
          <w:rFonts w:ascii="Calibri" w:hAnsi="Calibri" w:cs="Times Roman"/>
          <w:b/>
          <w:i/>
          <w:color w:val="000000" w:themeColor="text1"/>
        </w:rPr>
        <w:t xml:space="preserve"> and </w:t>
      </w:r>
    </w:p>
    <w:p w:rsidR="00527375" w:rsidRPr="009368A6" w:rsidRDefault="00527375" w:rsidP="00527375">
      <w:pPr>
        <w:tabs>
          <w:tab w:val="left" w:pos="3780"/>
        </w:tabs>
        <w:rPr>
          <w:rFonts w:ascii="Calibri" w:hAnsi="Calibri" w:cs="Times Roman"/>
          <w:b/>
          <w:i/>
          <w:color w:val="000000" w:themeColor="text1"/>
        </w:rPr>
      </w:pPr>
      <w:proofErr w:type="gramStart"/>
      <w:r w:rsidRPr="009368A6">
        <w:rPr>
          <w:rFonts w:ascii="Calibri" w:hAnsi="Calibri" w:cs="Times Bold"/>
          <w:b/>
          <w:bCs/>
          <w:i/>
          <w:color w:val="000000" w:themeColor="text1"/>
        </w:rPr>
        <w:t>support</w:t>
      </w:r>
      <w:proofErr w:type="gramEnd"/>
      <w:r w:rsidRPr="009368A6">
        <w:rPr>
          <w:rFonts w:ascii="Calibri" w:hAnsi="Calibri" w:cs="Times Bold"/>
          <w:b/>
          <w:bCs/>
          <w:i/>
          <w:color w:val="000000" w:themeColor="text1"/>
        </w:rPr>
        <w:t xml:space="preserve"> services</w:t>
      </w:r>
      <w:r w:rsidRPr="009368A6">
        <w:rPr>
          <w:rFonts w:ascii="Calibri" w:hAnsi="Calibri" w:cs="Times Roman"/>
          <w:b/>
          <w:i/>
          <w:color w:val="000000" w:themeColor="text1"/>
        </w:rPr>
        <w:t xml:space="preserve"> for students</w:t>
      </w:r>
      <w:r w:rsidR="00831C15" w:rsidRPr="009368A6">
        <w:rPr>
          <w:rFonts w:ascii="Calibri" w:hAnsi="Calibri" w:cs="Times Roman"/>
          <w:b/>
          <w:i/>
          <w:color w:val="000000" w:themeColor="text1"/>
        </w:rPr>
        <w:t>.</w:t>
      </w:r>
    </w:p>
    <w:p w:rsidR="00831C15" w:rsidRDefault="00831C15" w:rsidP="00527375">
      <w:pPr>
        <w:tabs>
          <w:tab w:val="left" w:pos="3780"/>
        </w:tabs>
        <w:rPr>
          <w:rFonts w:ascii="Calibri" w:hAnsi="Calibri" w:cs="Times Roman"/>
          <w:b/>
          <w:color w:val="000000" w:themeColor="text1"/>
        </w:rPr>
      </w:pPr>
    </w:p>
    <w:p w:rsidR="00831C15" w:rsidRDefault="009368A6" w:rsidP="00527375">
      <w:pPr>
        <w:tabs>
          <w:tab w:val="left" w:pos="3780"/>
        </w:tabs>
        <w:rPr>
          <w:rFonts w:ascii="Calibri" w:hAnsi="Calibri"/>
          <w:color w:val="000000" w:themeColor="text1"/>
        </w:rPr>
      </w:pPr>
      <w:r>
        <w:rPr>
          <w:rFonts w:ascii="Calibri" w:hAnsi="Calibri"/>
          <w:color w:val="000000" w:themeColor="text1"/>
        </w:rPr>
        <w:t>Formed in 2014</w:t>
      </w:r>
      <w:r w:rsidR="00831C15">
        <w:rPr>
          <w:rFonts w:ascii="Calibri" w:hAnsi="Calibri"/>
          <w:color w:val="000000" w:themeColor="text1"/>
        </w:rPr>
        <w:t xml:space="preserve"> through </w:t>
      </w:r>
      <w:r>
        <w:rPr>
          <w:rFonts w:ascii="Calibri" w:hAnsi="Calibri"/>
          <w:color w:val="000000" w:themeColor="text1"/>
        </w:rPr>
        <w:t xml:space="preserve">a </w:t>
      </w:r>
      <w:r w:rsidR="00831C15">
        <w:rPr>
          <w:rFonts w:ascii="Calibri" w:hAnsi="Calibri"/>
          <w:color w:val="000000" w:themeColor="text1"/>
        </w:rPr>
        <w:t>grant awarded to Foothill DeAnza CCD. Renewed in 2018 and budgeted by California Legis</w:t>
      </w:r>
      <w:r w:rsidR="00594548">
        <w:rPr>
          <w:rFonts w:ascii="Calibri" w:hAnsi="Calibri"/>
          <w:color w:val="000000" w:themeColor="text1"/>
        </w:rPr>
        <w:t>lature at $20 million annually</w:t>
      </w:r>
      <w:r w:rsidR="00B9510A">
        <w:rPr>
          <w:rFonts w:ascii="Calibri" w:hAnsi="Calibri"/>
          <w:color w:val="000000" w:themeColor="text1"/>
        </w:rPr>
        <w:t xml:space="preserve">, which includes the purchase of Canvas for </w:t>
      </w:r>
      <w:r w:rsidR="00594548">
        <w:rPr>
          <w:rFonts w:ascii="Calibri" w:hAnsi="Calibri"/>
          <w:color w:val="000000" w:themeColor="text1"/>
        </w:rPr>
        <w:t xml:space="preserve">114 </w:t>
      </w:r>
      <w:r w:rsidR="00B9510A">
        <w:rPr>
          <w:rFonts w:ascii="Calibri" w:hAnsi="Calibri"/>
          <w:color w:val="000000" w:themeColor="text1"/>
        </w:rPr>
        <w:t>California Community C</w:t>
      </w:r>
      <w:r w:rsidR="00594548">
        <w:rPr>
          <w:rFonts w:ascii="Calibri" w:hAnsi="Calibri"/>
          <w:color w:val="000000" w:themeColor="text1"/>
        </w:rPr>
        <w:t xml:space="preserve">olleges. </w:t>
      </w:r>
      <w:r>
        <w:rPr>
          <w:rFonts w:ascii="Calibri" w:hAnsi="Calibri"/>
          <w:color w:val="000000" w:themeColor="text1"/>
        </w:rPr>
        <w:t>Additional one-time $35 million grant (19-20FY) to merge CVC-OEI and create bridge to Online College.</w:t>
      </w:r>
      <w:r w:rsidR="00B9510A">
        <w:rPr>
          <w:rFonts w:ascii="Calibri" w:hAnsi="Calibri"/>
          <w:color w:val="000000" w:themeColor="text1"/>
        </w:rPr>
        <w:t xml:space="preserve"> Grants to be awarded from this fund to colleges seeking to improve online pathways. </w:t>
      </w:r>
    </w:p>
    <w:p w:rsidR="009368A6" w:rsidRDefault="00594548" w:rsidP="00527375">
      <w:pPr>
        <w:tabs>
          <w:tab w:val="left" w:pos="3780"/>
        </w:tabs>
        <w:rPr>
          <w:rFonts w:ascii="Calibri" w:hAnsi="Calibri"/>
          <w:color w:val="000000" w:themeColor="text1"/>
        </w:rPr>
      </w:pPr>
      <w:r>
        <w:rPr>
          <w:rFonts w:ascii="Calibri" w:hAnsi="Calibri"/>
          <w:color w:val="000000" w:themeColor="text1"/>
        </w:rPr>
        <w:br/>
      </w:r>
      <w:r w:rsidR="009368A6">
        <w:rPr>
          <w:rFonts w:ascii="Calibri" w:hAnsi="Calibri"/>
          <w:b/>
          <w:color w:val="1F497D" w:themeColor="text2"/>
        </w:rPr>
        <w:t xml:space="preserve">CVC-OEI </w:t>
      </w:r>
      <w:r w:rsidRPr="009368A6">
        <w:rPr>
          <w:rFonts w:ascii="Calibri" w:hAnsi="Calibri"/>
          <w:b/>
          <w:color w:val="1F497D" w:themeColor="text2"/>
        </w:rPr>
        <w:t>Consortium</w:t>
      </w:r>
      <w:r w:rsidR="009368A6">
        <w:rPr>
          <w:rFonts w:ascii="Calibri" w:hAnsi="Calibri"/>
          <w:b/>
          <w:color w:val="1F497D" w:themeColor="text2"/>
        </w:rPr>
        <w:t xml:space="preserve"> Colleges Agreement</w:t>
      </w:r>
      <w:r w:rsidRPr="009368A6">
        <w:rPr>
          <w:rFonts w:ascii="Calibri" w:hAnsi="Calibri"/>
          <w:b/>
          <w:color w:val="1F497D" w:themeColor="text2"/>
        </w:rPr>
        <w:t>:</w:t>
      </w:r>
      <w:r>
        <w:rPr>
          <w:rFonts w:ascii="Calibri" w:hAnsi="Calibri"/>
          <w:color w:val="000000" w:themeColor="text1"/>
        </w:rPr>
        <w:t xml:space="preserve"> Colleges that apply for and are accepted to the CVC-OEI Consortium agree to work to align 20% of their online course </w:t>
      </w:r>
      <w:r w:rsidRPr="00594548">
        <w:rPr>
          <w:rFonts w:ascii="Calibri" w:hAnsi="Calibri"/>
          <w:b/>
          <w:color w:val="000000" w:themeColor="text1"/>
        </w:rPr>
        <w:t>sections</w:t>
      </w:r>
      <w:r>
        <w:rPr>
          <w:rFonts w:ascii="Calibri" w:hAnsi="Calibri"/>
          <w:color w:val="000000" w:themeColor="text1"/>
        </w:rPr>
        <w:t xml:space="preserve"> that are CSU Breadth/IGETC to the </w:t>
      </w:r>
      <w:r w:rsidRPr="009368A6">
        <w:rPr>
          <w:rFonts w:ascii="Calibri" w:hAnsi="Calibri"/>
          <w:b/>
          <w:color w:val="1F497D" w:themeColor="text2"/>
        </w:rPr>
        <w:t>OEI Course Design Rubric.</w:t>
      </w:r>
      <w:r>
        <w:rPr>
          <w:rFonts w:ascii="Calibri" w:hAnsi="Calibri"/>
          <w:color w:val="000000" w:themeColor="text1"/>
        </w:rPr>
        <w:t xml:space="preserve"> </w:t>
      </w:r>
    </w:p>
    <w:p w:rsidR="009368A6" w:rsidRDefault="00594548" w:rsidP="00527375">
      <w:pPr>
        <w:tabs>
          <w:tab w:val="left" w:pos="3780"/>
        </w:tabs>
        <w:rPr>
          <w:rFonts w:ascii="Calibri" w:hAnsi="Calibri"/>
          <w:color w:val="000000" w:themeColor="text1"/>
        </w:rPr>
      </w:pPr>
      <w:r>
        <w:rPr>
          <w:rFonts w:ascii="Calibri" w:hAnsi="Calibri"/>
          <w:color w:val="000000" w:themeColor="text1"/>
        </w:rPr>
        <w:t xml:space="preserve">The Course Design Rubric is an effective practices guide and professional development tool that describes intuitive design and navigation that integrates student services, course and unit objectives, instructor presence practices, and frequent, varied assessments that are linked to objectives.  </w:t>
      </w:r>
    </w:p>
    <w:p w:rsidR="00594548" w:rsidRDefault="009368A6" w:rsidP="00527375">
      <w:pPr>
        <w:tabs>
          <w:tab w:val="left" w:pos="3780"/>
        </w:tabs>
        <w:rPr>
          <w:rFonts w:ascii="Calibri" w:hAnsi="Calibri"/>
          <w:color w:val="000000" w:themeColor="text1"/>
        </w:rPr>
      </w:pPr>
      <w:r>
        <w:rPr>
          <w:rFonts w:ascii="Calibri" w:hAnsi="Calibri"/>
          <w:color w:val="000000" w:themeColor="text1"/>
        </w:rPr>
        <w:t xml:space="preserve">Faculty work with </w:t>
      </w:r>
      <w:r w:rsidRPr="009368A6">
        <w:rPr>
          <w:rFonts w:ascii="Calibri" w:hAnsi="Calibri"/>
          <w:b/>
          <w:color w:val="1F497D" w:themeColor="text2"/>
        </w:rPr>
        <w:t>local Peer Online Course Review</w:t>
      </w:r>
      <w:r>
        <w:rPr>
          <w:rFonts w:ascii="Calibri" w:hAnsi="Calibri"/>
          <w:color w:val="000000" w:themeColor="text1"/>
        </w:rPr>
        <w:t xml:space="preserve"> teams to align their courses. CVC-OEI just </w:t>
      </w:r>
      <w:proofErr w:type="gramStart"/>
      <w:r>
        <w:rPr>
          <w:rFonts w:ascii="Calibri" w:hAnsi="Calibri"/>
          <w:color w:val="000000" w:themeColor="text1"/>
        </w:rPr>
        <w:t>announced  grants</w:t>
      </w:r>
      <w:proofErr w:type="gramEnd"/>
      <w:r>
        <w:rPr>
          <w:rFonts w:ascii="Calibri" w:hAnsi="Calibri"/>
          <w:color w:val="000000" w:themeColor="text1"/>
        </w:rPr>
        <w:t xml:space="preserve"> that could be used to provide incentives for faculty to work on their courses as well as stipends to peers. The Districtwide Distance Education Council has developed a mentoring program to accomplish this.</w:t>
      </w:r>
    </w:p>
    <w:p w:rsidR="00594548" w:rsidRPr="009368A6" w:rsidRDefault="00594548" w:rsidP="00527375">
      <w:pPr>
        <w:tabs>
          <w:tab w:val="left" w:pos="3780"/>
        </w:tabs>
        <w:rPr>
          <w:rFonts w:ascii="Calibri" w:hAnsi="Calibri"/>
          <w:b/>
          <w:color w:val="1F497D" w:themeColor="text2"/>
        </w:rPr>
      </w:pPr>
      <w:r w:rsidRPr="009368A6">
        <w:rPr>
          <w:rFonts w:ascii="Calibri" w:hAnsi="Calibri"/>
          <w:b/>
          <w:color w:val="1F497D" w:themeColor="text2"/>
        </w:rPr>
        <w:t xml:space="preserve">Consortium colleges receive: </w:t>
      </w:r>
    </w:p>
    <w:p w:rsidR="00594548" w:rsidRDefault="00594548" w:rsidP="00527375">
      <w:pPr>
        <w:tabs>
          <w:tab w:val="left" w:pos="3780"/>
        </w:tabs>
        <w:rPr>
          <w:rFonts w:ascii="Calibri" w:hAnsi="Calibri"/>
          <w:color w:val="000000" w:themeColor="text1"/>
        </w:rPr>
      </w:pPr>
      <w:r>
        <w:rPr>
          <w:rFonts w:ascii="Calibri" w:hAnsi="Calibri"/>
          <w:color w:val="000000" w:themeColor="text1"/>
        </w:rPr>
        <w:t>Cranium Café</w:t>
      </w:r>
      <w:r w:rsidR="009368A6">
        <w:rPr>
          <w:rFonts w:ascii="Calibri" w:hAnsi="Calibri"/>
          <w:color w:val="000000" w:themeColor="text1"/>
        </w:rPr>
        <w:t xml:space="preserve"> platform: Used by </w:t>
      </w:r>
      <w:r>
        <w:rPr>
          <w:rFonts w:ascii="Calibri" w:hAnsi="Calibri"/>
          <w:color w:val="000000" w:themeColor="text1"/>
        </w:rPr>
        <w:t>counseling</w:t>
      </w:r>
      <w:r w:rsidR="009368A6">
        <w:rPr>
          <w:rFonts w:ascii="Calibri" w:hAnsi="Calibri"/>
          <w:color w:val="000000" w:themeColor="text1"/>
        </w:rPr>
        <w:t xml:space="preserve"> to schedule and deliver online counseling</w:t>
      </w:r>
      <w:r>
        <w:rPr>
          <w:rFonts w:ascii="Calibri" w:hAnsi="Calibri"/>
          <w:color w:val="000000" w:themeColor="text1"/>
        </w:rPr>
        <w:t xml:space="preserve">, but also </w:t>
      </w:r>
      <w:r w:rsidR="009368A6">
        <w:rPr>
          <w:rFonts w:ascii="Calibri" w:hAnsi="Calibri"/>
          <w:color w:val="000000" w:themeColor="text1"/>
        </w:rPr>
        <w:t xml:space="preserve">can be used by </w:t>
      </w:r>
      <w:r>
        <w:rPr>
          <w:rFonts w:ascii="Calibri" w:hAnsi="Calibri"/>
          <w:color w:val="000000" w:themeColor="text1"/>
        </w:rPr>
        <w:t xml:space="preserve">financial aid, Veterans Centers, and any student services that can be provided remotely. </w:t>
      </w:r>
    </w:p>
    <w:p w:rsidR="00594548" w:rsidRDefault="009368A6" w:rsidP="00527375">
      <w:pPr>
        <w:tabs>
          <w:tab w:val="left" w:pos="3780"/>
        </w:tabs>
        <w:rPr>
          <w:rFonts w:ascii="Calibri" w:hAnsi="Calibri"/>
          <w:color w:val="000000" w:themeColor="text1"/>
        </w:rPr>
      </w:pPr>
      <w:r>
        <w:rPr>
          <w:rFonts w:ascii="Calibri" w:hAnsi="Calibri"/>
          <w:color w:val="000000" w:themeColor="text1"/>
        </w:rPr>
        <w:t xml:space="preserve">Net Tutor:  </w:t>
      </w:r>
      <w:r w:rsidR="00594548">
        <w:rPr>
          <w:rFonts w:ascii="Calibri" w:hAnsi="Calibri"/>
          <w:color w:val="000000" w:themeColor="text1"/>
        </w:rPr>
        <w:t xml:space="preserve">500 hours of tutoring per </w:t>
      </w:r>
      <w:r>
        <w:rPr>
          <w:rFonts w:ascii="Calibri" w:hAnsi="Calibri"/>
          <w:color w:val="000000" w:themeColor="text1"/>
        </w:rPr>
        <w:t>year provided by college graduates</w:t>
      </w:r>
    </w:p>
    <w:p w:rsidR="00594548" w:rsidRDefault="00594548" w:rsidP="00527375">
      <w:pPr>
        <w:tabs>
          <w:tab w:val="left" w:pos="3780"/>
        </w:tabs>
        <w:rPr>
          <w:rFonts w:ascii="Calibri" w:hAnsi="Calibri"/>
          <w:color w:val="000000" w:themeColor="text1"/>
        </w:rPr>
      </w:pPr>
      <w:r>
        <w:rPr>
          <w:rFonts w:ascii="Calibri" w:hAnsi="Calibri"/>
          <w:color w:val="000000" w:themeColor="text1"/>
        </w:rPr>
        <w:t xml:space="preserve">Smarter Measure: Readiness modules </w:t>
      </w:r>
      <w:r w:rsidR="009368A6">
        <w:rPr>
          <w:rFonts w:ascii="Calibri" w:hAnsi="Calibri"/>
          <w:color w:val="000000" w:themeColor="text1"/>
        </w:rPr>
        <w:t>prepared for faculty to embed</w:t>
      </w:r>
    </w:p>
    <w:p w:rsidR="009368A6" w:rsidRDefault="009368A6" w:rsidP="00527375">
      <w:pPr>
        <w:tabs>
          <w:tab w:val="left" w:pos="3780"/>
        </w:tabs>
        <w:rPr>
          <w:rFonts w:ascii="Calibri" w:hAnsi="Calibri"/>
          <w:color w:val="000000" w:themeColor="text1"/>
        </w:rPr>
      </w:pPr>
      <w:proofErr w:type="spellStart"/>
      <w:r>
        <w:rPr>
          <w:rFonts w:ascii="Calibri" w:hAnsi="Calibri"/>
          <w:color w:val="000000" w:themeColor="text1"/>
        </w:rPr>
        <w:t>Notebowl</w:t>
      </w:r>
      <w:proofErr w:type="spellEnd"/>
      <w:r>
        <w:rPr>
          <w:rFonts w:ascii="Calibri" w:hAnsi="Calibri"/>
          <w:color w:val="000000" w:themeColor="text1"/>
        </w:rPr>
        <w:t>: a social media-style platform for student communications</w:t>
      </w:r>
    </w:p>
    <w:p w:rsidR="009368A6" w:rsidRDefault="009368A6" w:rsidP="00527375">
      <w:pPr>
        <w:tabs>
          <w:tab w:val="left" w:pos="3780"/>
        </w:tabs>
        <w:rPr>
          <w:rFonts w:ascii="Calibri" w:hAnsi="Calibri"/>
          <w:color w:val="000000" w:themeColor="text1"/>
        </w:rPr>
      </w:pPr>
      <w:r>
        <w:rPr>
          <w:rFonts w:ascii="Calibri" w:hAnsi="Calibri"/>
          <w:color w:val="000000" w:themeColor="text1"/>
        </w:rPr>
        <w:t>Name Coach: Allows students and faculty to say their names, attach to profiles and email signatures.</w:t>
      </w:r>
    </w:p>
    <w:p w:rsidR="00594548" w:rsidRDefault="00594548" w:rsidP="00527375">
      <w:pPr>
        <w:tabs>
          <w:tab w:val="left" w:pos="3780"/>
        </w:tabs>
        <w:rPr>
          <w:rFonts w:ascii="Calibri" w:hAnsi="Calibri"/>
          <w:color w:val="000000" w:themeColor="text1"/>
        </w:rPr>
      </w:pPr>
    </w:p>
    <w:p w:rsidR="00B9510A" w:rsidRDefault="00B9510A" w:rsidP="00B9510A">
      <w:pPr>
        <w:tabs>
          <w:tab w:val="left" w:pos="3780"/>
        </w:tabs>
        <w:rPr>
          <w:rFonts w:ascii="Calibri" w:hAnsi="Calibri"/>
          <w:color w:val="000000" w:themeColor="text1"/>
        </w:rPr>
      </w:pPr>
      <w:r w:rsidRPr="00B9510A">
        <w:rPr>
          <w:rFonts w:ascii="Calibri" w:hAnsi="Calibri"/>
          <w:b/>
          <w:color w:val="1F497D" w:themeColor="text2"/>
        </w:rPr>
        <w:t>CVC-OEI Course Exchange:</w:t>
      </w:r>
      <w:r>
        <w:rPr>
          <w:rFonts w:ascii="Calibri" w:hAnsi="Calibri"/>
          <w:color w:val="000000" w:themeColor="text1"/>
        </w:rPr>
        <w:t xml:space="preserve"> When this is fully operable in Spring 2020, it will allow students at Consortium Colleges to enroll at their home college, with proof of residency, financial aid, transcripts, progress and other records shared across a secure integrated platform. Seven colleges now participating in this proof of concept.  </w:t>
      </w:r>
    </w:p>
    <w:p w:rsidR="00B9510A" w:rsidRDefault="00B9510A" w:rsidP="00B9510A">
      <w:pPr>
        <w:tabs>
          <w:tab w:val="left" w:pos="3780"/>
        </w:tabs>
        <w:rPr>
          <w:rFonts w:ascii="Calibri" w:hAnsi="Calibri"/>
          <w:color w:val="000000" w:themeColor="text1"/>
        </w:rPr>
      </w:pPr>
      <w:r>
        <w:rPr>
          <w:rFonts w:ascii="Calibri" w:hAnsi="Calibri"/>
          <w:color w:val="000000" w:themeColor="text1"/>
        </w:rPr>
        <w:t xml:space="preserve">Courses that have completed the POCR review and submission to CVC-OEI will receive badges, and will float to the top of searches. </w:t>
      </w:r>
    </w:p>
    <w:p w:rsidR="00527375" w:rsidRPr="00B9510A" w:rsidRDefault="00B9510A" w:rsidP="00B9510A">
      <w:pPr>
        <w:tabs>
          <w:tab w:val="left" w:pos="3780"/>
        </w:tabs>
        <w:rPr>
          <w:rFonts w:ascii="Calibri" w:hAnsi="Calibri"/>
          <w:color w:val="000000" w:themeColor="text1"/>
        </w:rPr>
      </w:pPr>
      <w:r w:rsidRPr="00B9510A">
        <w:rPr>
          <w:rFonts w:ascii="Calibri" w:hAnsi="Calibri"/>
          <w:b/>
          <w:color w:val="1F497D" w:themeColor="text2"/>
        </w:rPr>
        <w:t>Course Finder:</w:t>
      </w:r>
      <w:r>
        <w:rPr>
          <w:rFonts w:ascii="Calibri" w:hAnsi="Calibri"/>
          <w:color w:val="000000" w:themeColor="text1"/>
        </w:rPr>
        <w:t xml:space="preserve"> For now, the Finish Faster Online site functions as an online course finder for students looking for courses to complete degrees. This site is being updated nightly through files provided by our District Office. </w:t>
      </w:r>
    </w:p>
    <w:sectPr w:rsidR="00527375" w:rsidRPr="00B9510A" w:rsidSect="001D33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Roman">
    <w:charset w:val="00"/>
    <w:family w:val="auto"/>
    <w:pitch w:val="variable"/>
    <w:sig w:usb0="E00002FF" w:usb1="5000205A" w:usb2="00000000" w:usb3="00000000" w:csb0="0000019F" w:csb1="00000000"/>
  </w:font>
  <w:font w:name="Times Bold">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75"/>
    <w:rsid w:val="001D33A5"/>
    <w:rsid w:val="003D28B3"/>
    <w:rsid w:val="00527375"/>
    <w:rsid w:val="00594548"/>
    <w:rsid w:val="005F13B7"/>
    <w:rsid w:val="006D6B24"/>
    <w:rsid w:val="00791704"/>
    <w:rsid w:val="007A4875"/>
    <w:rsid w:val="00831C15"/>
    <w:rsid w:val="00874623"/>
    <w:rsid w:val="009368A6"/>
    <w:rsid w:val="00B9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1D96EBF-A3FB-4266-8E47-92EADDF3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7A4875"/>
    <w:pPr>
      <w:keepNext/>
      <w:keepLines/>
      <w:outlineLvl w:val="0"/>
    </w:pPr>
    <w:rPr>
      <w:rFonts w:ascii="Times New Roman" w:eastAsiaTheme="majorEastAsia" w:hAnsi="Times New Roman" w:cstheme="majorBidi"/>
      <w:b/>
      <w:bCs/>
      <w:color w:val="000000" w:themeColor="text1"/>
      <w:sz w:val="28"/>
      <w:szCs w:val="32"/>
    </w:rPr>
  </w:style>
  <w:style w:type="paragraph" w:styleId="Heading2">
    <w:name w:val="heading 2"/>
    <w:basedOn w:val="Normal"/>
    <w:next w:val="NoSpacing"/>
    <w:link w:val="Heading2Char"/>
    <w:autoRedefine/>
    <w:uiPriority w:val="9"/>
    <w:unhideWhenUsed/>
    <w:qFormat/>
    <w:rsid w:val="005F13B7"/>
    <w:pPr>
      <w:keepNext/>
      <w:keepLines/>
      <w:spacing w:before="8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5F13B7"/>
    <w:pPr>
      <w:keepNext/>
      <w:keepLines/>
      <w:spacing w:before="8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3B7"/>
    <w:rPr>
      <w:rFonts w:asciiTheme="majorHAnsi" w:eastAsiaTheme="majorEastAsia" w:hAnsiTheme="majorHAnsi" w:cstheme="majorBidi"/>
      <w:b/>
      <w:bCs/>
      <w:sz w:val="26"/>
      <w:szCs w:val="26"/>
    </w:rPr>
  </w:style>
  <w:style w:type="paragraph" w:styleId="NoSpacing">
    <w:name w:val="No Spacing"/>
    <w:uiPriority w:val="1"/>
    <w:qFormat/>
    <w:rsid w:val="005F13B7"/>
  </w:style>
  <w:style w:type="character" w:customStyle="1" w:styleId="Heading3Char">
    <w:name w:val="Heading 3 Char"/>
    <w:basedOn w:val="DefaultParagraphFont"/>
    <w:link w:val="Heading3"/>
    <w:uiPriority w:val="9"/>
    <w:rsid w:val="005F13B7"/>
    <w:rPr>
      <w:rFonts w:asciiTheme="majorHAnsi" w:eastAsiaTheme="majorEastAsia" w:hAnsiTheme="majorHAnsi" w:cstheme="majorBidi"/>
      <w:b/>
      <w:bCs/>
      <w:color w:val="000000" w:themeColor="text1"/>
    </w:rPr>
  </w:style>
  <w:style w:type="paragraph" w:styleId="BodyText">
    <w:name w:val="Body Text"/>
    <w:basedOn w:val="Normal"/>
    <w:link w:val="BodyTextChar"/>
    <w:rsid w:val="003D28B3"/>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3D28B3"/>
    <w:rPr>
      <w:rFonts w:ascii="Times New Roman" w:eastAsia="Times New Roman" w:hAnsi="Times New Roman" w:cs="Times New Roman"/>
      <w:color w:val="000000"/>
      <w:szCs w:val="20"/>
    </w:rPr>
  </w:style>
  <w:style w:type="paragraph" w:styleId="Title">
    <w:name w:val="Title"/>
    <w:basedOn w:val="Normal"/>
    <w:next w:val="Normal"/>
    <w:link w:val="TitleChar"/>
    <w:uiPriority w:val="10"/>
    <w:qFormat/>
    <w:rsid w:val="00874623"/>
    <w:pPr>
      <w:pBdr>
        <w:bottom w:val="single" w:sz="8" w:space="4" w:color="4F81BD" w:themeColor="accent1"/>
      </w:pBdr>
      <w:spacing w:after="300"/>
      <w:contextualSpacing/>
    </w:pPr>
    <w:rPr>
      <w:rFonts w:ascii="Times New Roman" w:eastAsiaTheme="majorEastAsia" w:hAnsi="Times New Roman" w:cstheme="majorBidi"/>
      <w:b/>
      <w:color w:val="000000" w:themeColor="text1"/>
      <w:spacing w:val="5"/>
      <w:kern w:val="28"/>
      <w:sz w:val="40"/>
      <w:szCs w:val="52"/>
    </w:rPr>
  </w:style>
  <w:style w:type="character" w:customStyle="1" w:styleId="TitleChar">
    <w:name w:val="Title Char"/>
    <w:basedOn w:val="DefaultParagraphFont"/>
    <w:link w:val="Title"/>
    <w:uiPriority w:val="10"/>
    <w:rsid w:val="00874623"/>
    <w:rPr>
      <w:rFonts w:ascii="Times New Roman" w:eastAsiaTheme="majorEastAsia" w:hAnsi="Times New Roman" w:cstheme="majorBidi"/>
      <w:b/>
      <w:color w:val="000000" w:themeColor="text1"/>
      <w:spacing w:val="5"/>
      <w:kern w:val="28"/>
      <w:sz w:val="40"/>
      <w:szCs w:val="52"/>
    </w:rPr>
  </w:style>
  <w:style w:type="character" w:customStyle="1" w:styleId="Heading1Char">
    <w:name w:val="Heading 1 Char"/>
    <w:basedOn w:val="DefaultParagraphFont"/>
    <w:link w:val="Heading1"/>
    <w:uiPriority w:val="9"/>
    <w:rsid w:val="007A4875"/>
    <w:rPr>
      <w:rFonts w:ascii="Times New Roman" w:eastAsiaTheme="majorEastAsia" w:hAnsi="Times New Roman" w:cstheme="majorBidi"/>
      <w:b/>
      <w:bCs/>
      <w:color w:val="000000" w:themeColor="text1"/>
      <w:sz w:val="28"/>
      <w:szCs w:val="32"/>
    </w:rPr>
  </w:style>
  <w:style w:type="paragraph" w:styleId="ListParagraph">
    <w:name w:val="List Paragraph"/>
    <w:basedOn w:val="Normal"/>
    <w:autoRedefine/>
    <w:uiPriority w:val="34"/>
    <w:qFormat/>
    <w:rsid w:val="006D6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Miller</dc:creator>
  <cp:keywords/>
  <dc:description/>
  <cp:lastModifiedBy>Abigail Duldulao</cp:lastModifiedBy>
  <cp:revision>2</cp:revision>
  <dcterms:created xsi:type="dcterms:W3CDTF">2019-01-31T21:22:00Z</dcterms:created>
  <dcterms:modified xsi:type="dcterms:W3CDTF">2019-01-31T21:22:00Z</dcterms:modified>
</cp:coreProperties>
</file>