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3EABE" w14:textId="77777777" w:rsidR="002827E7" w:rsidRDefault="002827E7" w:rsidP="002827E7">
      <w:pPr>
        <w:spacing w:after="0"/>
        <w:ind w:left="-180"/>
        <w:contextualSpacing/>
        <w:rPr>
          <w:b/>
          <w:sz w:val="28"/>
        </w:rPr>
      </w:pPr>
      <w:bookmarkStart w:id="0" w:name="_GoBack"/>
      <w:bookmarkEnd w:id="0"/>
      <w:r>
        <w:rPr>
          <w:noProof/>
        </w:rPr>
        <w:drawing>
          <wp:anchor distT="0" distB="0" distL="114300" distR="114300" simplePos="0" relativeHeight="251658240" behindDoc="1" locked="0" layoutInCell="1" allowOverlap="1" wp14:anchorId="60D08A1C" wp14:editId="3B4F45FD">
            <wp:simplePos x="0" y="0"/>
            <wp:positionH relativeFrom="column">
              <wp:posOffset>-85725</wp:posOffset>
            </wp:positionH>
            <wp:positionV relativeFrom="paragraph">
              <wp:posOffset>-121920</wp:posOffset>
            </wp:positionV>
            <wp:extent cx="3060700" cy="1019810"/>
            <wp:effectExtent l="0" t="0" r="0" b="0"/>
            <wp:wrapNone/>
            <wp:docPr id="2" name="Picture 1" descr="print-ready-logo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ready-logograysca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0700" cy="1019810"/>
                    </a:xfrm>
                    <a:prstGeom prst="rect">
                      <a:avLst/>
                    </a:prstGeom>
                  </pic:spPr>
                </pic:pic>
              </a:graphicData>
            </a:graphic>
          </wp:anchor>
        </w:drawing>
      </w:r>
    </w:p>
    <w:p w14:paraId="09A14475" w14:textId="77777777" w:rsidR="002827E7" w:rsidRDefault="002827E7" w:rsidP="002827E7">
      <w:pPr>
        <w:spacing w:after="0"/>
        <w:ind w:left="-180"/>
        <w:contextualSpacing/>
        <w:jc w:val="center"/>
        <w:rPr>
          <w:b/>
          <w:sz w:val="28"/>
        </w:rPr>
      </w:pPr>
    </w:p>
    <w:p w14:paraId="0ACBF048" w14:textId="77777777" w:rsidR="001039F8" w:rsidRDefault="006240FD" w:rsidP="002827E7">
      <w:pPr>
        <w:spacing w:after="0"/>
        <w:ind w:left="-180"/>
        <w:contextualSpacing/>
        <w:jc w:val="center"/>
        <w:rPr>
          <w:b/>
          <w:sz w:val="28"/>
        </w:rPr>
      </w:pPr>
      <w:r w:rsidRPr="00D41129">
        <w:rPr>
          <w:b/>
          <w:sz w:val="28"/>
        </w:rPr>
        <w:t xml:space="preserve">The </w:t>
      </w:r>
      <w:r w:rsidR="00D55CC9">
        <w:rPr>
          <w:b/>
          <w:sz w:val="28"/>
        </w:rPr>
        <w:t>Exemplary</w:t>
      </w:r>
      <w:r w:rsidRPr="00D41129">
        <w:rPr>
          <w:b/>
          <w:sz w:val="28"/>
        </w:rPr>
        <w:t xml:space="preserve"> </w:t>
      </w:r>
      <w:r w:rsidR="00763F0A">
        <w:rPr>
          <w:b/>
          <w:sz w:val="28"/>
        </w:rPr>
        <w:t xml:space="preserve">Program </w:t>
      </w:r>
      <w:r w:rsidRPr="00D41129">
        <w:rPr>
          <w:b/>
          <w:sz w:val="28"/>
        </w:rPr>
        <w:t>Awar</w:t>
      </w:r>
      <w:r w:rsidR="00D41129" w:rsidRPr="00D41129">
        <w:rPr>
          <w:b/>
          <w:sz w:val="28"/>
        </w:rPr>
        <w:t>d Application</w:t>
      </w:r>
    </w:p>
    <w:p w14:paraId="4CCDC156" w14:textId="6B88A2D8" w:rsidR="00D41129" w:rsidRPr="001039F8" w:rsidRDefault="008F6382" w:rsidP="00D41129">
      <w:pPr>
        <w:spacing w:after="0"/>
        <w:ind w:left="270"/>
        <w:contextualSpacing/>
        <w:jc w:val="center"/>
        <w:rPr>
          <w:b/>
          <w:i/>
        </w:rPr>
      </w:pPr>
      <w:r>
        <w:rPr>
          <w:b/>
          <w:i/>
        </w:rPr>
        <w:t>Each response</w:t>
      </w:r>
      <w:r w:rsidR="005336D0">
        <w:rPr>
          <w:b/>
          <w:i/>
        </w:rPr>
        <w:t xml:space="preserve"> </w:t>
      </w:r>
      <w:r>
        <w:rPr>
          <w:b/>
          <w:i/>
        </w:rPr>
        <w:t>is</w:t>
      </w:r>
      <w:r w:rsidR="005336D0">
        <w:rPr>
          <w:b/>
          <w:i/>
        </w:rPr>
        <w:t xml:space="preserve"> limited</w:t>
      </w:r>
      <w:r w:rsidR="001039F8">
        <w:rPr>
          <w:b/>
          <w:i/>
        </w:rPr>
        <w:t xml:space="preserve"> to 200 words</w:t>
      </w:r>
      <w:r w:rsidR="00BF7465">
        <w:rPr>
          <w:b/>
          <w:i/>
        </w:rPr>
        <w:t xml:space="preserve"> per </w:t>
      </w:r>
      <w:r w:rsidR="00FC028C">
        <w:rPr>
          <w:b/>
          <w:i/>
        </w:rPr>
        <w:t xml:space="preserve">prompt </w:t>
      </w:r>
      <w:r w:rsidR="00BF7465">
        <w:rPr>
          <w:b/>
          <w:i/>
        </w:rPr>
        <w:t>(including supplemental support or evidence)</w:t>
      </w:r>
    </w:p>
    <w:p w14:paraId="0C7EEF84" w14:textId="77777777" w:rsidR="006240FD" w:rsidRPr="00020A39" w:rsidRDefault="006240FD" w:rsidP="006240FD">
      <w:pPr>
        <w:spacing w:after="0"/>
        <w:ind w:left="270"/>
        <w:contextualSpacing/>
        <w:rPr>
          <w:sz w:val="16"/>
          <w:szCs w:val="16"/>
        </w:rPr>
      </w:pPr>
    </w:p>
    <w:tbl>
      <w:tblPr>
        <w:tblStyle w:val="TableGrid"/>
        <w:tblW w:w="0" w:type="auto"/>
        <w:tblInd w:w="523" w:type="dxa"/>
        <w:tblLook w:val="04A0" w:firstRow="1" w:lastRow="0" w:firstColumn="1" w:lastColumn="0" w:noHBand="0" w:noVBand="1"/>
      </w:tblPr>
      <w:tblGrid>
        <w:gridCol w:w="2555"/>
        <w:gridCol w:w="11881"/>
      </w:tblGrid>
      <w:tr w:rsidR="00D41129" w14:paraId="19988014" w14:textId="77777777">
        <w:trPr>
          <w:trHeight w:val="2348"/>
        </w:trPr>
        <w:tc>
          <w:tcPr>
            <w:tcW w:w="2555" w:type="dxa"/>
            <w:vAlign w:val="center"/>
          </w:tcPr>
          <w:p w14:paraId="7CB7444F" w14:textId="7C0D9CDF" w:rsidR="00D41129" w:rsidRPr="00E524EB" w:rsidRDefault="00763F0A" w:rsidP="00763F0A">
            <w:pPr>
              <w:contextualSpacing/>
              <w:rPr>
                <w:b/>
              </w:rPr>
            </w:pPr>
            <w:r>
              <w:rPr>
                <w:rFonts w:ascii="Arial" w:hAnsi="Arial" w:cs="Arial"/>
                <w:b/>
                <w:bCs/>
                <w:sz w:val="20"/>
                <w:szCs w:val="20"/>
              </w:rPr>
              <w:t>Describe the i</w:t>
            </w:r>
            <w:r w:rsidR="00D55CC9" w:rsidRPr="00C75174">
              <w:rPr>
                <w:rFonts w:ascii="Arial" w:hAnsi="Arial" w:cs="Arial"/>
                <w:b/>
                <w:bCs/>
                <w:sz w:val="20"/>
                <w:szCs w:val="20"/>
              </w:rPr>
              <w:t xml:space="preserve">ndicators of </w:t>
            </w:r>
            <w:r>
              <w:rPr>
                <w:rFonts w:ascii="Arial" w:hAnsi="Arial" w:cs="Arial"/>
                <w:b/>
                <w:bCs/>
                <w:sz w:val="20"/>
                <w:szCs w:val="20"/>
              </w:rPr>
              <w:t>o</w:t>
            </w:r>
            <w:r w:rsidR="00D55CC9" w:rsidRPr="00C75174">
              <w:rPr>
                <w:rFonts w:ascii="Arial" w:hAnsi="Arial" w:cs="Arial"/>
                <w:b/>
                <w:bCs/>
                <w:sz w:val="20"/>
                <w:szCs w:val="20"/>
              </w:rPr>
              <w:t xml:space="preserve">verall </w:t>
            </w:r>
            <w:r>
              <w:rPr>
                <w:rFonts w:ascii="Arial" w:hAnsi="Arial" w:cs="Arial"/>
                <w:b/>
                <w:bCs/>
                <w:sz w:val="20"/>
                <w:szCs w:val="20"/>
              </w:rPr>
              <w:t>p</w:t>
            </w:r>
            <w:r w:rsidR="00D55CC9" w:rsidRPr="00C75174">
              <w:rPr>
                <w:rFonts w:ascii="Arial" w:hAnsi="Arial" w:cs="Arial"/>
                <w:b/>
                <w:bCs/>
                <w:sz w:val="20"/>
                <w:szCs w:val="20"/>
              </w:rPr>
              <w:t xml:space="preserve">rogram </w:t>
            </w:r>
            <w:r>
              <w:rPr>
                <w:rFonts w:ascii="Arial" w:hAnsi="Arial" w:cs="Arial"/>
                <w:b/>
                <w:bCs/>
                <w:sz w:val="20"/>
                <w:szCs w:val="20"/>
              </w:rPr>
              <w:t>s</w:t>
            </w:r>
            <w:r w:rsidR="00D55CC9" w:rsidRPr="00C75174">
              <w:rPr>
                <w:rFonts w:ascii="Arial" w:hAnsi="Arial" w:cs="Arial"/>
                <w:b/>
                <w:bCs/>
                <w:sz w:val="20"/>
                <w:szCs w:val="20"/>
              </w:rPr>
              <w:t>uccess</w:t>
            </w:r>
            <w:r w:rsidR="008F6382">
              <w:rPr>
                <w:rFonts w:ascii="Arial" w:hAnsi="Arial" w:cs="Arial"/>
                <w:b/>
                <w:bCs/>
                <w:sz w:val="20"/>
                <w:szCs w:val="20"/>
              </w:rPr>
              <w:t xml:space="preserve"> (limit 200 words)</w:t>
            </w:r>
          </w:p>
        </w:tc>
        <w:tc>
          <w:tcPr>
            <w:tcW w:w="11881" w:type="dxa"/>
            <w:vAlign w:val="center"/>
          </w:tcPr>
          <w:p w14:paraId="6430F7C3" w14:textId="77777777" w:rsidR="00904E36" w:rsidRDefault="00904E36" w:rsidP="00904E36">
            <w:r w:rsidRPr="00B0387F">
              <w:rPr>
                <w:rFonts w:ascii="Times New Roman" w:eastAsia="Times New Roman" w:hAnsi="Times New Roman" w:cs="Times New Roman"/>
                <w:sz w:val="24"/>
                <w:szCs w:val="24"/>
              </w:rPr>
              <w:t xml:space="preserve">The </w:t>
            </w:r>
            <w:smartTag w:uri="urn:schemas-microsoft-com:office:smarttags" w:element="place">
              <w:smartTag w:uri="urn:schemas-microsoft-com:office:smarttags" w:element="PlaceName">
                <w:r w:rsidRPr="00B0387F">
                  <w:rPr>
                    <w:rFonts w:ascii="Times New Roman" w:eastAsia="Times New Roman" w:hAnsi="Times New Roman" w:cs="Times New Roman"/>
                    <w:sz w:val="24"/>
                    <w:szCs w:val="24"/>
                  </w:rPr>
                  <w:t>Los</w:t>
                </w:r>
              </w:smartTag>
              <w:r w:rsidRPr="00B0387F">
                <w:rPr>
                  <w:rFonts w:ascii="Times New Roman" w:eastAsia="Times New Roman" w:hAnsi="Times New Roman" w:cs="Times New Roman"/>
                  <w:sz w:val="24"/>
                  <w:szCs w:val="24"/>
                </w:rPr>
                <w:t xml:space="preserve"> </w:t>
              </w:r>
              <w:smartTag w:uri="urn:schemas-microsoft-com:office:smarttags" w:element="PlaceName">
                <w:r w:rsidRPr="00B0387F">
                  <w:rPr>
                    <w:rFonts w:ascii="Times New Roman" w:eastAsia="Times New Roman" w:hAnsi="Times New Roman" w:cs="Times New Roman"/>
                    <w:sz w:val="24"/>
                    <w:szCs w:val="24"/>
                  </w:rPr>
                  <w:t>Medanos</w:t>
                </w:r>
              </w:smartTag>
              <w:r w:rsidRPr="00B0387F">
                <w:rPr>
                  <w:rFonts w:ascii="Times New Roman" w:eastAsia="Times New Roman" w:hAnsi="Times New Roman" w:cs="Times New Roman"/>
                  <w:sz w:val="24"/>
                  <w:szCs w:val="24"/>
                </w:rPr>
                <w:t xml:space="preserve"> </w:t>
              </w:r>
              <w:smartTag w:uri="urn:schemas-microsoft-com:office:smarttags" w:element="PlaceType">
                <w:r w:rsidRPr="00B0387F">
                  <w:rPr>
                    <w:rFonts w:ascii="Times New Roman" w:eastAsia="Times New Roman" w:hAnsi="Times New Roman" w:cs="Times New Roman"/>
                    <w:sz w:val="24"/>
                    <w:szCs w:val="24"/>
                  </w:rPr>
                  <w:t>College</w:t>
                </w:r>
              </w:smartTag>
            </w:smartTag>
            <w:r w:rsidRPr="00B0387F">
              <w:rPr>
                <w:rFonts w:ascii="Times New Roman" w:eastAsia="Times New Roman" w:hAnsi="Times New Roman" w:cs="Times New Roman"/>
                <w:sz w:val="24"/>
                <w:szCs w:val="24"/>
              </w:rPr>
              <w:t>’s Vocal &amp; Choral Division is administered by the Grammy Quarterfinalist, Professor Silvester Carl Henderson. The vocal/choral program is design to allow for maximum development of specialized skills in particular musical areas of interest. Vocal students perform a wide variety of repertoire which includes classical, jazz, musical theatre, gospel, country, rhythm &amp; blues and current popular music</w:t>
            </w:r>
            <w:r w:rsidRPr="00B0387F">
              <w:rPr>
                <w:rFonts w:ascii="Times New Roman" w:eastAsia="Times New Roman" w:hAnsi="Times New Roman" w:cs="Times New Roman"/>
                <w:b/>
                <w:sz w:val="24"/>
                <w:szCs w:val="24"/>
              </w:rPr>
              <w:t xml:space="preserve">. The LMC Chamber Chorale tours each year performing intense classical choral repertoire, at some of the most reputable universities and concerts halls throughout </w:t>
            </w:r>
            <w:smartTag w:uri="urn:schemas-microsoft-com:office:smarttags" w:element="State">
              <w:smartTag w:uri="urn:schemas-microsoft-com:office:smarttags" w:element="place">
                <w:r w:rsidRPr="00B0387F">
                  <w:rPr>
                    <w:rFonts w:ascii="Times New Roman" w:eastAsia="Times New Roman" w:hAnsi="Times New Roman" w:cs="Times New Roman"/>
                    <w:b/>
                    <w:sz w:val="24"/>
                    <w:szCs w:val="24"/>
                  </w:rPr>
                  <w:t>California</w:t>
                </w:r>
              </w:smartTag>
            </w:smartTag>
            <w:r w:rsidRPr="00B0387F">
              <w:rPr>
                <w:rFonts w:ascii="Times New Roman" w:eastAsia="Times New Roman" w:hAnsi="Times New Roman" w:cs="Times New Roman"/>
                <w:b/>
                <w:sz w:val="24"/>
                <w:szCs w:val="24"/>
              </w:rPr>
              <w:t>.</w:t>
            </w:r>
            <w:r w:rsidRPr="00B0387F">
              <w:rPr>
                <w:rFonts w:ascii="Times New Roman" w:eastAsia="Times New Roman" w:hAnsi="Times New Roman" w:cs="Times New Roman"/>
                <w:sz w:val="24"/>
                <w:szCs w:val="24"/>
              </w:rPr>
              <w:t xml:space="preserve"> The Gospel Choir sponsors the largest educationally sponsored multicultural community festivals in Contra Costa County. </w:t>
            </w:r>
            <w:r w:rsidRPr="00B0387F">
              <w:rPr>
                <w:rFonts w:ascii="Times New Roman" w:eastAsia="Times New Roman" w:hAnsi="Times New Roman" w:cs="Times New Roman"/>
                <w:sz w:val="25"/>
                <w:szCs w:val="25"/>
              </w:rPr>
              <w:t>The Celebration Concerts,  has brought many gospel, jazz, broadway stars, and rhythm and blues greats to the campus and community such as Gerald Albright</w:t>
            </w:r>
            <w:r>
              <w:rPr>
                <w:rFonts w:ascii="Times New Roman" w:eastAsia="Times New Roman" w:hAnsi="Times New Roman" w:cs="Times New Roman"/>
                <w:sz w:val="25"/>
                <w:szCs w:val="25"/>
              </w:rPr>
              <w:t xml:space="preserve">, </w:t>
            </w:r>
            <w:r w:rsidRPr="00B0387F">
              <w:rPr>
                <w:rFonts w:ascii="Times New Roman" w:eastAsia="Times New Roman" w:hAnsi="Times New Roman" w:cs="Times New Roman"/>
                <w:sz w:val="25"/>
                <w:szCs w:val="25"/>
              </w:rPr>
              <w:t>Kirk Whalum "Mr. Gospel According to Jazz", Billy Porter (New York Broadway Star and Soundtrack Artist for Bete Midler’s “First Wives Club ), James Iglehart (New York Broadway Star from Alladin),  The LMC Academic Lecture Series has included academic research scholars such as the following</w:t>
            </w:r>
            <w:r>
              <w:rPr>
                <w:rFonts w:ascii="Times New Roman" w:eastAsia="Times New Roman" w:hAnsi="Times New Roman" w:cs="Times New Roman"/>
                <w:sz w:val="25"/>
                <w:szCs w:val="25"/>
              </w:rPr>
              <w:t xml:space="preserve">: Dr. James Lance Taylor (USF) and Dr. Tyrone Howard (UCLA). </w:t>
            </w:r>
            <w:r w:rsidRPr="00B0387F">
              <w:rPr>
                <w:rFonts w:ascii="Times New Roman" w:eastAsia="Times New Roman" w:hAnsi="Times New Roman" w:cs="Times New Roman"/>
                <w:sz w:val="25"/>
                <w:szCs w:val="25"/>
              </w:rPr>
              <w:t xml:space="preserve">The department transfers a large majority of </w:t>
            </w:r>
            <w:r>
              <w:rPr>
                <w:rFonts w:ascii="Times New Roman" w:eastAsia="Times New Roman" w:hAnsi="Times New Roman" w:cs="Times New Roman"/>
                <w:sz w:val="25"/>
                <w:szCs w:val="25"/>
              </w:rPr>
              <w:t>its</w:t>
            </w:r>
            <w:r w:rsidRPr="00B0387F">
              <w:rPr>
                <w:rFonts w:ascii="Times New Roman" w:eastAsia="Times New Roman" w:hAnsi="Times New Roman" w:cs="Times New Roman"/>
                <w:sz w:val="25"/>
                <w:szCs w:val="25"/>
              </w:rPr>
              <w:t xml:space="preserve"> vocal &amp; keyboard students to Music Conservatories and </w:t>
            </w:r>
            <w:r>
              <w:rPr>
                <w:rFonts w:ascii="Times New Roman" w:eastAsia="Times New Roman" w:hAnsi="Times New Roman" w:cs="Times New Roman"/>
                <w:sz w:val="25"/>
                <w:szCs w:val="25"/>
              </w:rPr>
              <w:t>the CSU System.</w:t>
            </w:r>
          </w:p>
          <w:p w14:paraId="1DC49518" w14:textId="25A71A86" w:rsidR="00D41129" w:rsidRPr="00020A39" w:rsidRDefault="00D41129" w:rsidP="00E8277E">
            <w:pPr>
              <w:rPr>
                <w:sz w:val="19"/>
                <w:szCs w:val="19"/>
              </w:rPr>
            </w:pPr>
          </w:p>
        </w:tc>
      </w:tr>
      <w:tr w:rsidR="001039F8" w14:paraId="02CB60AE" w14:textId="77777777">
        <w:trPr>
          <w:trHeight w:val="1142"/>
        </w:trPr>
        <w:tc>
          <w:tcPr>
            <w:tcW w:w="14436" w:type="dxa"/>
            <w:gridSpan w:val="2"/>
          </w:tcPr>
          <w:p w14:paraId="0A764840" w14:textId="38D2DEB2" w:rsidR="001039F8" w:rsidRPr="001039F8" w:rsidRDefault="001039F8" w:rsidP="001039F8">
            <w:pPr>
              <w:contextualSpacing/>
              <w:rPr>
                <w:i/>
                <w:sz w:val="19"/>
                <w:szCs w:val="19"/>
              </w:rPr>
            </w:pPr>
            <w:r w:rsidRPr="001039F8">
              <w:rPr>
                <w:i/>
                <w:sz w:val="19"/>
                <w:szCs w:val="19"/>
              </w:rPr>
              <w:t>Supplemental Support</w:t>
            </w:r>
            <w:r>
              <w:rPr>
                <w:i/>
                <w:sz w:val="19"/>
                <w:szCs w:val="19"/>
              </w:rPr>
              <w:t xml:space="preserve"> or Evidence</w:t>
            </w:r>
            <w:r w:rsidR="008F6382">
              <w:rPr>
                <w:i/>
                <w:sz w:val="19"/>
                <w:szCs w:val="19"/>
              </w:rPr>
              <w:t xml:space="preserve"> (</w:t>
            </w:r>
            <w:r w:rsidR="00BF7465">
              <w:rPr>
                <w:i/>
                <w:sz w:val="19"/>
                <w:szCs w:val="19"/>
              </w:rPr>
              <w:t>optional</w:t>
            </w:r>
            <w:r w:rsidR="00FC028C">
              <w:rPr>
                <w:i/>
                <w:sz w:val="19"/>
                <w:szCs w:val="19"/>
              </w:rPr>
              <w:t>—included in the 200 word limit</w:t>
            </w:r>
            <w:r w:rsidR="008F6382">
              <w:rPr>
                <w:i/>
                <w:sz w:val="19"/>
                <w:szCs w:val="19"/>
              </w:rPr>
              <w:t>)</w:t>
            </w:r>
            <w:r w:rsidRPr="001039F8">
              <w:rPr>
                <w:i/>
                <w:sz w:val="19"/>
                <w:szCs w:val="19"/>
              </w:rPr>
              <w:t>:</w:t>
            </w:r>
          </w:p>
          <w:p w14:paraId="76BE6F93" w14:textId="77777777" w:rsidR="001039F8" w:rsidRPr="00020A39" w:rsidRDefault="001039F8" w:rsidP="001039F8">
            <w:pPr>
              <w:contextualSpacing/>
              <w:rPr>
                <w:sz w:val="19"/>
                <w:szCs w:val="19"/>
              </w:rPr>
            </w:pPr>
          </w:p>
        </w:tc>
      </w:tr>
      <w:tr w:rsidR="00D41129" w14:paraId="3FD5900E" w14:textId="77777777" w:rsidTr="00FC028C">
        <w:trPr>
          <w:trHeight w:val="2870"/>
        </w:trPr>
        <w:tc>
          <w:tcPr>
            <w:tcW w:w="2555" w:type="dxa"/>
            <w:vAlign w:val="center"/>
          </w:tcPr>
          <w:p w14:paraId="4F489381" w14:textId="74CF5E4D" w:rsidR="00D41129" w:rsidRPr="00E524EB" w:rsidRDefault="00763F0A" w:rsidP="005336D0">
            <w:pPr>
              <w:contextualSpacing/>
              <w:rPr>
                <w:b/>
              </w:rPr>
            </w:pPr>
            <w:r>
              <w:rPr>
                <w:rFonts w:ascii="Calibri" w:hAnsi="Calibri"/>
                <w:b/>
              </w:rPr>
              <w:t>Describe the</w:t>
            </w:r>
            <w:r w:rsidR="002827E7">
              <w:rPr>
                <w:rFonts w:ascii="Calibri" w:hAnsi="Calibri"/>
                <w:b/>
              </w:rPr>
              <w:t xml:space="preserve"> </w:t>
            </w:r>
            <w:r w:rsidR="005336D0">
              <w:rPr>
                <w:rFonts w:ascii="Calibri" w:hAnsi="Calibri"/>
                <w:b/>
              </w:rPr>
              <w:t>identified</w:t>
            </w:r>
            <w:r>
              <w:rPr>
                <w:rFonts w:ascii="Calibri" w:hAnsi="Calibri"/>
                <w:b/>
              </w:rPr>
              <w:t xml:space="preserve"> need for the program and the innovative solution that was implemented</w:t>
            </w:r>
            <w:r w:rsidR="008F6382">
              <w:rPr>
                <w:rFonts w:ascii="Calibri" w:hAnsi="Calibri"/>
                <w:b/>
              </w:rPr>
              <w:t xml:space="preserve"> </w:t>
            </w:r>
            <w:r w:rsidR="008F6382">
              <w:rPr>
                <w:rFonts w:ascii="Arial" w:hAnsi="Arial" w:cs="Arial"/>
                <w:b/>
                <w:bCs/>
                <w:sz w:val="20"/>
                <w:szCs w:val="20"/>
              </w:rPr>
              <w:t>(limit 200 words)</w:t>
            </w:r>
          </w:p>
        </w:tc>
        <w:tc>
          <w:tcPr>
            <w:tcW w:w="11881" w:type="dxa"/>
            <w:vAlign w:val="center"/>
          </w:tcPr>
          <w:p w14:paraId="044ED2C8" w14:textId="77777777" w:rsidR="003B316A" w:rsidRPr="003B316A" w:rsidRDefault="003B316A" w:rsidP="003B316A">
            <w:pPr>
              <w:contextualSpacing/>
              <w:rPr>
                <w:sz w:val="24"/>
                <w:szCs w:val="24"/>
              </w:rPr>
            </w:pPr>
            <w:r w:rsidRPr="003B316A">
              <w:rPr>
                <w:sz w:val="24"/>
                <w:szCs w:val="24"/>
              </w:rPr>
              <w:t xml:space="preserve">The LMC Choral Program continues to sponsor </w:t>
            </w:r>
            <w:r w:rsidRPr="003B316A">
              <w:rPr>
                <w:b/>
                <w:i/>
                <w:sz w:val="24"/>
                <w:szCs w:val="24"/>
              </w:rPr>
              <w:t>“Grand Scale Event”</w:t>
            </w:r>
            <w:r w:rsidRPr="003B316A">
              <w:rPr>
                <w:sz w:val="24"/>
                <w:szCs w:val="24"/>
              </w:rPr>
              <w:t xml:space="preserve"> that supports and promote “Higher Education”. One main focus of the LMC Choral Division is to use the “Vocal Performing Arts” as an avenue to support </w:t>
            </w:r>
            <w:r w:rsidRPr="003B316A">
              <w:rPr>
                <w:b/>
                <w:i/>
                <w:sz w:val="24"/>
                <w:szCs w:val="24"/>
              </w:rPr>
              <w:t>“Intersectional Learning”</w:t>
            </w:r>
            <w:r w:rsidRPr="003B316A">
              <w:rPr>
                <w:sz w:val="24"/>
                <w:szCs w:val="24"/>
              </w:rPr>
              <w:t xml:space="preserve"> for Disadvantage Students. As a result of the teaching methodology, students develop the necessary </w:t>
            </w:r>
            <w:r w:rsidRPr="003B316A">
              <w:rPr>
                <w:i/>
                <w:sz w:val="24"/>
                <w:szCs w:val="24"/>
              </w:rPr>
              <w:t>Career Technical Skills</w:t>
            </w:r>
            <w:r w:rsidRPr="003B316A">
              <w:rPr>
                <w:sz w:val="24"/>
                <w:szCs w:val="24"/>
              </w:rPr>
              <w:t xml:space="preserve">, required to obtain credible and sustainable creative employment. Many of the graduates from this program have obtained employment in such areas as the following: New York Broadway Shows, Faith Based Centers, Creative Instructional Production Companies (Private Music Studios), Night Clubs, Theatre Companies and many more. The LMC Choral Division has reached national success regarding its discipline quality, community advocacy, transfer focus, artistic innovation, outreach efforts and political acumen and affiliations. The Choral Department continues to market its mission and purpose as it continues to </w:t>
            </w:r>
            <w:r w:rsidRPr="003B316A">
              <w:rPr>
                <w:b/>
                <w:i/>
                <w:sz w:val="24"/>
                <w:szCs w:val="24"/>
              </w:rPr>
              <w:t>“Save Children Thru the Musical Arts”.</w:t>
            </w:r>
            <w:r w:rsidRPr="003B316A">
              <w:rPr>
                <w:sz w:val="24"/>
                <w:szCs w:val="24"/>
              </w:rPr>
              <w:t xml:space="preserve">  The Choral Division continues to seek funding and system/eternal support for the purpose and promotion of supporting academic focused creative based artistic events that places Higher Education as its main and primary area of emphasis.  The Choral Division focuses on the promotion of Diversity, Equity and Inclusion in all of its many creative efforts.</w:t>
            </w:r>
          </w:p>
          <w:p w14:paraId="5EF8EF76" w14:textId="77777777" w:rsidR="003B316A" w:rsidRDefault="003B316A" w:rsidP="003B316A">
            <w:pPr>
              <w:contextualSpacing/>
              <w:rPr>
                <w:sz w:val="19"/>
                <w:szCs w:val="19"/>
              </w:rPr>
            </w:pPr>
          </w:p>
          <w:p w14:paraId="3B86B6A1" w14:textId="77777777" w:rsidR="00D41129" w:rsidRDefault="00D41129" w:rsidP="00862FFE">
            <w:pPr>
              <w:contextualSpacing/>
              <w:rPr>
                <w:sz w:val="19"/>
                <w:szCs w:val="19"/>
              </w:rPr>
            </w:pPr>
          </w:p>
          <w:p w14:paraId="5EFAA307" w14:textId="77777777" w:rsidR="00FC028C" w:rsidRDefault="00FC028C" w:rsidP="00862FFE">
            <w:pPr>
              <w:contextualSpacing/>
              <w:rPr>
                <w:sz w:val="19"/>
                <w:szCs w:val="19"/>
              </w:rPr>
            </w:pPr>
          </w:p>
          <w:p w14:paraId="504D33B6" w14:textId="77777777" w:rsidR="00FC028C" w:rsidRDefault="00FC028C" w:rsidP="00862FFE">
            <w:pPr>
              <w:contextualSpacing/>
              <w:rPr>
                <w:sz w:val="19"/>
                <w:szCs w:val="19"/>
              </w:rPr>
            </w:pPr>
          </w:p>
          <w:p w14:paraId="3CC5A3BC" w14:textId="77777777" w:rsidR="00FC028C" w:rsidRDefault="00FC028C" w:rsidP="00862FFE">
            <w:pPr>
              <w:contextualSpacing/>
              <w:rPr>
                <w:sz w:val="19"/>
                <w:szCs w:val="19"/>
              </w:rPr>
            </w:pPr>
          </w:p>
          <w:p w14:paraId="05273C3E" w14:textId="77777777" w:rsidR="00FC028C" w:rsidRDefault="00FC028C" w:rsidP="00862FFE">
            <w:pPr>
              <w:contextualSpacing/>
              <w:rPr>
                <w:sz w:val="19"/>
                <w:szCs w:val="19"/>
              </w:rPr>
            </w:pPr>
          </w:p>
          <w:p w14:paraId="4D3EBAF0" w14:textId="77777777" w:rsidR="00FC028C" w:rsidRDefault="00FC028C" w:rsidP="00862FFE">
            <w:pPr>
              <w:contextualSpacing/>
              <w:rPr>
                <w:sz w:val="19"/>
                <w:szCs w:val="19"/>
              </w:rPr>
            </w:pPr>
          </w:p>
          <w:p w14:paraId="7A966DAA" w14:textId="77777777" w:rsidR="00FC028C" w:rsidRDefault="00FC028C" w:rsidP="00862FFE">
            <w:pPr>
              <w:contextualSpacing/>
              <w:rPr>
                <w:sz w:val="19"/>
                <w:szCs w:val="19"/>
              </w:rPr>
            </w:pPr>
          </w:p>
          <w:p w14:paraId="2E4FA0B8" w14:textId="77777777" w:rsidR="00FC028C" w:rsidRPr="00020A39" w:rsidRDefault="00FC028C" w:rsidP="00862FFE">
            <w:pPr>
              <w:contextualSpacing/>
              <w:rPr>
                <w:sz w:val="19"/>
                <w:szCs w:val="19"/>
              </w:rPr>
            </w:pPr>
          </w:p>
        </w:tc>
      </w:tr>
      <w:tr w:rsidR="008F6382" w14:paraId="27E8CC4B" w14:textId="77777777" w:rsidTr="00FC028C">
        <w:trPr>
          <w:trHeight w:val="1295"/>
        </w:trPr>
        <w:tc>
          <w:tcPr>
            <w:tcW w:w="14436" w:type="dxa"/>
            <w:gridSpan w:val="2"/>
          </w:tcPr>
          <w:p w14:paraId="40B146BF" w14:textId="77777777" w:rsidR="00FC028C" w:rsidRPr="001039F8" w:rsidRDefault="00FC028C" w:rsidP="00FC028C">
            <w:pPr>
              <w:contextualSpacing/>
              <w:rPr>
                <w:i/>
                <w:sz w:val="19"/>
                <w:szCs w:val="19"/>
              </w:rPr>
            </w:pPr>
            <w:r w:rsidRPr="001039F8">
              <w:rPr>
                <w:i/>
                <w:sz w:val="19"/>
                <w:szCs w:val="19"/>
              </w:rPr>
              <w:t>Supplemental Support</w:t>
            </w:r>
            <w:r>
              <w:rPr>
                <w:i/>
                <w:sz w:val="19"/>
                <w:szCs w:val="19"/>
              </w:rPr>
              <w:t xml:space="preserve"> or Evidence (optional—included in the 200 word limit)</w:t>
            </w:r>
            <w:r w:rsidRPr="001039F8">
              <w:rPr>
                <w:i/>
                <w:sz w:val="19"/>
                <w:szCs w:val="19"/>
              </w:rPr>
              <w:t>:</w:t>
            </w:r>
          </w:p>
          <w:p w14:paraId="0E8C3A6D" w14:textId="22C3F81F" w:rsidR="008F6382" w:rsidRPr="001039F8" w:rsidRDefault="008F6382" w:rsidP="00BF5331">
            <w:pPr>
              <w:contextualSpacing/>
              <w:rPr>
                <w:i/>
                <w:sz w:val="19"/>
                <w:szCs w:val="19"/>
              </w:rPr>
            </w:pPr>
          </w:p>
          <w:p w14:paraId="614ED25B" w14:textId="414B67E3" w:rsidR="0073492F" w:rsidRDefault="0073492F" w:rsidP="001039F8">
            <w:pPr>
              <w:tabs>
                <w:tab w:val="left" w:pos="3600"/>
              </w:tabs>
              <w:contextualSpacing/>
              <w:rPr>
                <w:sz w:val="19"/>
                <w:szCs w:val="19"/>
              </w:rPr>
            </w:pPr>
          </w:p>
          <w:p w14:paraId="45602444" w14:textId="77777777" w:rsidR="0073492F" w:rsidRPr="0073492F" w:rsidRDefault="0073492F" w:rsidP="0073492F">
            <w:pPr>
              <w:rPr>
                <w:sz w:val="19"/>
                <w:szCs w:val="19"/>
              </w:rPr>
            </w:pPr>
          </w:p>
          <w:p w14:paraId="2B8B5D80" w14:textId="77777777" w:rsidR="0073492F" w:rsidRPr="0073492F" w:rsidRDefault="0073492F" w:rsidP="0073492F">
            <w:pPr>
              <w:rPr>
                <w:sz w:val="19"/>
                <w:szCs w:val="19"/>
              </w:rPr>
            </w:pPr>
          </w:p>
          <w:p w14:paraId="2A757125" w14:textId="77777777" w:rsidR="0073492F" w:rsidRPr="0073492F" w:rsidRDefault="0073492F" w:rsidP="0073492F">
            <w:pPr>
              <w:rPr>
                <w:sz w:val="19"/>
                <w:szCs w:val="19"/>
              </w:rPr>
            </w:pPr>
          </w:p>
          <w:p w14:paraId="04DD58F8" w14:textId="76826FBB" w:rsidR="0073492F" w:rsidRDefault="0073492F" w:rsidP="0073492F">
            <w:pPr>
              <w:rPr>
                <w:sz w:val="19"/>
                <w:szCs w:val="19"/>
              </w:rPr>
            </w:pPr>
          </w:p>
          <w:p w14:paraId="3137101D" w14:textId="77777777" w:rsidR="0073492F" w:rsidRPr="0073492F" w:rsidRDefault="0073492F" w:rsidP="0073492F">
            <w:pPr>
              <w:rPr>
                <w:sz w:val="19"/>
                <w:szCs w:val="19"/>
              </w:rPr>
            </w:pPr>
          </w:p>
          <w:p w14:paraId="05054A3B" w14:textId="2871F8EF" w:rsidR="0073492F" w:rsidRDefault="0073492F" w:rsidP="0073492F">
            <w:pPr>
              <w:rPr>
                <w:sz w:val="19"/>
                <w:szCs w:val="19"/>
              </w:rPr>
            </w:pPr>
          </w:p>
          <w:p w14:paraId="3767BED8" w14:textId="22112C07" w:rsidR="008F6382" w:rsidRPr="0073492F" w:rsidRDefault="0073492F" w:rsidP="0073492F">
            <w:pPr>
              <w:tabs>
                <w:tab w:val="left" w:pos="2977"/>
              </w:tabs>
              <w:rPr>
                <w:sz w:val="19"/>
                <w:szCs w:val="19"/>
              </w:rPr>
            </w:pPr>
            <w:r>
              <w:rPr>
                <w:sz w:val="19"/>
                <w:szCs w:val="19"/>
              </w:rPr>
              <w:tab/>
            </w:r>
          </w:p>
        </w:tc>
      </w:tr>
      <w:tr w:rsidR="00D41129" w14:paraId="1A61CD0B" w14:textId="77777777">
        <w:trPr>
          <w:trHeight w:val="1880"/>
        </w:trPr>
        <w:tc>
          <w:tcPr>
            <w:tcW w:w="2555" w:type="dxa"/>
          </w:tcPr>
          <w:p w14:paraId="28F22DEB" w14:textId="77777777" w:rsidR="0082593C" w:rsidRDefault="0082593C" w:rsidP="0082593C">
            <w:pPr>
              <w:contextualSpacing/>
              <w:rPr>
                <w:rFonts w:ascii="Calibri" w:hAnsi="Calibri"/>
                <w:b/>
              </w:rPr>
            </w:pPr>
          </w:p>
          <w:p w14:paraId="6DD84D96" w14:textId="39094F2C" w:rsidR="00D41129" w:rsidRPr="00E524EB" w:rsidRDefault="005336D0" w:rsidP="0082593C">
            <w:pPr>
              <w:contextualSpacing/>
              <w:rPr>
                <w:b/>
              </w:rPr>
            </w:pPr>
            <w:r>
              <w:rPr>
                <w:rFonts w:ascii="Calibri" w:hAnsi="Calibri"/>
                <w:b/>
              </w:rPr>
              <w:t>Explain how</w:t>
            </w:r>
            <w:r w:rsidR="00763F0A">
              <w:rPr>
                <w:rFonts w:ascii="Calibri" w:hAnsi="Calibri"/>
                <w:b/>
              </w:rPr>
              <w:t xml:space="preserve"> the program collaborate</w:t>
            </w:r>
            <w:r>
              <w:rPr>
                <w:rFonts w:ascii="Calibri" w:hAnsi="Calibri"/>
                <w:b/>
              </w:rPr>
              <w:t>s</w:t>
            </w:r>
            <w:r w:rsidR="00763F0A">
              <w:rPr>
                <w:rFonts w:ascii="Calibri" w:hAnsi="Calibri"/>
                <w:b/>
              </w:rPr>
              <w:t xml:space="preserve"> with other programs on campus or within the community</w:t>
            </w:r>
            <w:r w:rsidR="008F6382">
              <w:rPr>
                <w:rFonts w:ascii="Calibri" w:hAnsi="Calibri"/>
                <w:b/>
              </w:rPr>
              <w:t xml:space="preserve"> </w:t>
            </w:r>
            <w:r w:rsidR="008F6382">
              <w:rPr>
                <w:rFonts w:ascii="Arial" w:hAnsi="Arial" w:cs="Arial"/>
                <w:b/>
                <w:bCs/>
                <w:sz w:val="20"/>
                <w:szCs w:val="20"/>
              </w:rPr>
              <w:t>(limit 200 words)</w:t>
            </w:r>
          </w:p>
        </w:tc>
        <w:tc>
          <w:tcPr>
            <w:tcW w:w="11881" w:type="dxa"/>
            <w:vAlign w:val="center"/>
          </w:tcPr>
          <w:p w14:paraId="631F074E" w14:textId="7706E093" w:rsidR="00D41129" w:rsidRDefault="003B316A" w:rsidP="00727E8A">
            <w:pPr>
              <w:contextualSpacing/>
              <w:rPr>
                <w:sz w:val="19"/>
                <w:szCs w:val="19"/>
              </w:rPr>
            </w:pPr>
            <w:r>
              <w:rPr>
                <w:sz w:val="19"/>
                <w:szCs w:val="19"/>
              </w:rPr>
              <w:t xml:space="preserve">The Los Medanos College Choral Division and the LMC Gospel Choir </w:t>
            </w:r>
            <w:r w:rsidR="00E74DA5">
              <w:rPr>
                <w:sz w:val="19"/>
                <w:szCs w:val="19"/>
              </w:rPr>
              <w:t>Recently</w:t>
            </w:r>
            <w:r>
              <w:rPr>
                <w:sz w:val="19"/>
                <w:szCs w:val="19"/>
              </w:rPr>
              <w:t xml:space="preserve"> Celebrated its 25</w:t>
            </w:r>
            <w:r w:rsidRPr="003B316A">
              <w:rPr>
                <w:sz w:val="19"/>
                <w:szCs w:val="19"/>
                <w:vertAlign w:val="superscript"/>
              </w:rPr>
              <w:t>th</w:t>
            </w:r>
            <w:r>
              <w:rPr>
                <w:sz w:val="19"/>
                <w:szCs w:val="19"/>
              </w:rPr>
              <w:t xml:space="preserve"> Celebration Concert. </w:t>
            </w:r>
            <w:r w:rsidR="00EB5C2C">
              <w:rPr>
                <w:sz w:val="19"/>
                <w:szCs w:val="19"/>
              </w:rPr>
              <w:t xml:space="preserve">The entire Choral Division has hosted </w:t>
            </w:r>
            <w:r w:rsidR="00E74DA5">
              <w:rPr>
                <w:sz w:val="19"/>
                <w:szCs w:val="19"/>
              </w:rPr>
              <w:t xml:space="preserve">and collaborated </w:t>
            </w:r>
            <w:r w:rsidR="00EE703A">
              <w:rPr>
                <w:sz w:val="19"/>
                <w:szCs w:val="19"/>
              </w:rPr>
              <w:t>with creative performers</w:t>
            </w:r>
            <w:r w:rsidR="00EB5C2C">
              <w:rPr>
                <w:sz w:val="19"/>
                <w:szCs w:val="19"/>
              </w:rPr>
              <w:t xml:space="preserve"> </w:t>
            </w:r>
            <w:r w:rsidR="00EE703A">
              <w:rPr>
                <w:sz w:val="19"/>
                <w:szCs w:val="19"/>
              </w:rPr>
              <w:t>in</w:t>
            </w:r>
            <w:r w:rsidR="00EB5C2C">
              <w:rPr>
                <w:sz w:val="19"/>
                <w:szCs w:val="19"/>
              </w:rPr>
              <w:t xml:space="preserve"> the following areas of </w:t>
            </w:r>
            <w:r w:rsidR="00E74DA5">
              <w:rPr>
                <w:sz w:val="19"/>
                <w:szCs w:val="19"/>
              </w:rPr>
              <w:t xml:space="preserve">performance </w:t>
            </w:r>
            <w:r w:rsidR="00EB5C2C">
              <w:rPr>
                <w:sz w:val="19"/>
                <w:szCs w:val="19"/>
              </w:rPr>
              <w:t>focus:</w:t>
            </w:r>
          </w:p>
          <w:p w14:paraId="0B6F44E5" w14:textId="77777777" w:rsidR="00EB5C2C" w:rsidRDefault="00EB5C2C" w:rsidP="00727E8A">
            <w:pPr>
              <w:contextualSpacing/>
              <w:rPr>
                <w:sz w:val="19"/>
                <w:szCs w:val="19"/>
              </w:rPr>
            </w:pPr>
          </w:p>
          <w:p w14:paraId="72C54214" w14:textId="211E467B" w:rsidR="00EB5C2C" w:rsidRDefault="00EB5C2C" w:rsidP="00EB5C2C">
            <w:pPr>
              <w:contextualSpacing/>
              <w:jc w:val="center"/>
              <w:rPr>
                <w:sz w:val="19"/>
                <w:szCs w:val="19"/>
              </w:rPr>
            </w:pPr>
            <w:r w:rsidRPr="00EB5C2C">
              <w:rPr>
                <w:sz w:val="19"/>
                <w:szCs w:val="19"/>
              </w:rPr>
              <w:t>A: Classical Artist and Noted Performers (Opera Stars)</w:t>
            </w:r>
            <w:r w:rsidRPr="00EB5C2C">
              <w:rPr>
                <w:sz w:val="19"/>
                <w:szCs w:val="19"/>
              </w:rPr>
              <w:br/>
              <w:t>B: Celebrity Guest (Popular, Country, Rhythm &amp; Blues, Jazz, Gospel Artist) (Artist such as Gerald Albright, Kirk Whalum, James Iglehart, Billie Porter)</w:t>
            </w:r>
            <w:r w:rsidRPr="00EB5C2C">
              <w:rPr>
                <w:sz w:val="19"/>
                <w:szCs w:val="19"/>
              </w:rPr>
              <w:br/>
              <w:t>C: Public Schools, Community Colleges, Universities Choral Divisions</w:t>
            </w:r>
            <w:r w:rsidRPr="00EB5C2C">
              <w:rPr>
                <w:sz w:val="19"/>
                <w:szCs w:val="19"/>
              </w:rPr>
              <w:br/>
              <w:t>D: Faith Based Organizations &amp; Multicultural Performers</w:t>
            </w:r>
            <w:r w:rsidRPr="00EB5C2C">
              <w:rPr>
                <w:sz w:val="19"/>
                <w:szCs w:val="19"/>
              </w:rPr>
              <w:br/>
              <w:t>D: Equity Based/Focused Nationally Noted Academic Motivational Speakers</w:t>
            </w:r>
            <w:r>
              <w:rPr>
                <w:sz w:val="19"/>
                <w:szCs w:val="19"/>
              </w:rPr>
              <w:br/>
              <w:t>E: Political Speakers and Social Justice Advocates (Ex. Pamela Haynes – Governing Board State Chancellor’s Office)</w:t>
            </w:r>
            <w:r w:rsidR="00E74DA5">
              <w:rPr>
                <w:sz w:val="19"/>
                <w:szCs w:val="19"/>
              </w:rPr>
              <w:br/>
              <w:t xml:space="preserve">F: “Educational Tours” (Chamber Chorales performs at Middle Schools, High Schools and Universities each year) </w:t>
            </w:r>
            <w:r w:rsidR="00E74DA5">
              <w:rPr>
                <w:sz w:val="19"/>
                <w:szCs w:val="19"/>
              </w:rPr>
              <w:br/>
              <w:t>(Ex: UCLA, University of Las Vegas, Nevada</w:t>
            </w:r>
          </w:p>
          <w:p w14:paraId="30508029" w14:textId="77777777" w:rsidR="00E74DA5" w:rsidRDefault="00E74DA5" w:rsidP="00EB5C2C">
            <w:pPr>
              <w:contextualSpacing/>
              <w:jc w:val="center"/>
              <w:rPr>
                <w:sz w:val="19"/>
                <w:szCs w:val="19"/>
              </w:rPr>
            </w:pPr>
          </w:p>
          <w:p w14:paraId="1E255CB2" w14:textId="086B78FC" w:rsidR="00E74DA5" w:rsidRPr="00EB5C2C" w:rsidRDefault="00E74DA5" w:rsidP="00E74DA5">
            <w:pPr>
              <w:contextualSpacing/>
              <w:rPr>
                <w:sz w:val="19"/>
                <w:szCs w:val="19"/>
              </w:rPr>
            </w:pPr>
            <w:r>
              <w:rPr>
                <w:sz w:val="19"/>
                <w:szCs w:val="19"/>
              </w:rPr>
              <w:t>The Department hosted 6-8 Major events per year. Each community event attracts 500</w:t>
            </w:r>
            <w:r w:rsidR="00EE703A">
              <w:rPr>
                <w:sz w:val="19"/>
                <w:szCs w:val="19"/>
              </w:rPr>
              <w:t xml:space="preserve"> </w:t>
            </w:r>
            <w:r>
              <w:rPr>
                <w:sz w:val="19"/>
                <w:szCs w:val="19"/>
              </w:rPr>
              <w:t>-</w:t>
            </w:r>
            <w:r w:rsidR="00EE703A">
              <w:rPr>
                <w:sz w:val="19"/>
                <w:szCs w:val="19"/>
              </w:rPr>
              <w:t xml:space="preserve"> </w:t>
            </w:r>
            <w:r>
              <w:rPr>
                <w:sz w:val="19"/>
                <w:szCs w:val="19"/>
              </w:rPr>
              <w:t>2,300 per event</w:t>
            </w:r>
            <w:r w:rsidR="00EE703A">
              <w:rPr>
                <w:sz w:val="19"/>
                <w:szCs w:val="19"/>
              </w:rPr>
              <w:t xml:space="preserve"> (Pittsburg High School)</w:t>
            </w:r>
            <w:r>
              <w:rPr>
                <w:sz w:val="19"/>
                <w:szCs w:val="19"/>
              </w:rPr>
              <w:t xml:space="preserve">. The Choral Division has shared its talents with over 750,000 students and community members in the last 25 years.  All of the sponsored events </w:t>
            </w:r>
            <w:r w:rsidR="00EE703A">
              <w:rPr>
                <w:sz w:val="19"/>
                <w:szCs w:val="19"/>
              </w:rPr>
              <w:t>has focused</w:t>
            </w:r>
            <w:r>
              <w:rPr>
                <w:sz w:val="19"/>
                <w:szCs w:val="19"/>
              </w:rPr>
              <w:t xml:space="preserve"> on collaboration under one of the listed areas of performance focus. Students are able to </w:t>
            </w:r>
            <w:r w:rsidR="00EE703A">
              <w:rPr>
                <w:sz w:val="19"/>
                <w:szCs w:val="19"/>
              </w:rPr>
              <w:t xml:space="preserve">demonstrate </w:t>
            </w:r>
            <w:r>
              <w:rPr>
                <w:sz w:val="19"/>
                <w:szCs w:val="19"/>
              </w:rPr>
              <w:t xml:space="preserve">their successful </w:t>
            </w:r>
            <w:r w:rsidR="00EE703A">
              <w:rPr>
                <w:sz w:val="19"/>
                <w:szCs w:val="19"/>
              </w:rPr>
              <w:t>knowledge</w:t>
            </w:r>
            <w:r>
              <w:rPr>
                <w:sz w:val="19"/>
                <w:szCs w:val="19"/>
              </w:rPr>
              <w:t xml:space="preserve"> of the</w:t>
            </w:r>
            <w:r w:rsidR="00EE703A">
              <w:rPr>
                <w:sz w:val="19"/>
                <w:szCs w:val="19"/>
              </w:rPr>
              <w:t xml:space="preserve"> expected</w:t>
            </w:r>
            <w:r>
              <w:rPr>
                <w:sz w:val="19"/>
                <w:szCs w:val="19"/>
              </w:rPr>
              <w:t xml:space="preserve"> Student Learning Outcomes.</w:t>
            </w:r>
          </w:p>
        </w:tc>
      </w:tr>
      <w:tr w:rsidR="008F6382" w14:paraId="6E7D5FD3" w14:textId="77777777">
        <w:trPr>
          <w:trHeight w:val="1520"/>
        </w:trPr>
        <w:tc>
          <w:tcPr>
            <w:tcW w:w="14436" w:type="dxa"/>
            <w:gridSpan w:val="2"/>
          </w:tcPr>
          <w:p w14:paraId="6BF3E9C5" w14:textId="77777777" w:rsidR="00FC028C" w:rsidRPr="001039F8" w:rsidRDefault="00FC028C" w:rsidP="00FC028C">
            <w:pPr>
              <w:contextualSpacing/>
              <w:rPr>
                <w:i/>
                <w:sz w:val="19"/>
                <w:szCs w:val="19"/>
              </w:rPr>
            </w:pPr>
            <w:r w:rsidRPr="001039F8">
              <w:rPr>
                <w:i/>
                <w:sz w:val="19"/>
                <w:szCs w:val="19"/>
              </w:rPr>
              <w:t>Supplemental Support</w:t>
            </w:r>
            <w:r>
              <w:rPr>
                <w:i/>
                <w:sz w:val="19"/>
                <w:szCs w:val="19"/>
              </w:rPr>
              <w:t xml:space="preserve"> or Evidence (optional—included in the 200 word limit)</w:t>
            </w:r>
            <w:r w:rsidRPr="001039F8">
              <w:rPr>
                <w:i/>
                <w:sz w:val="19"/>
                <w:szCs w:val="19"/>
              </w:rPr>
              <w:t>:</w:t>
            </w:r>
          </w:p>
          <w:p w14:paraId="3503D133" w14:textId="6DF221D1" w:rsidR="008F6382" w:rsidRPr="001039F8" w:rsidRDefault="008F6382" w:rsidP="001039F8">
            <w:pPr>
              <w:contextualSpacing/>
              <w:rPr>
                <w:i/>
                <w:sz w:val="19"/>
                <w:szCs w:val="19"/>
              </w:rPr>
            </w:pPr>
          </w:p>
        </w:tc>
      </w:tr>
      <w:tr w:rsidR="001039F8" w14:paraId="65138535" w14:textId="77777777">
        <w:trPr>
          <w:trHeight w:val="2519"/>
        </w:trPr>
        <w:tc>
          <w:tcPr>
            <w:tcW w:w="2555" w:type="dxa"/>
            <w:vAlign w:val="center"/>
          </w:tcPr>
          <w:p w14:paraId="5AD21ABC" w14:textId="56F60EFB" w:rsidR="001039F8" w:rsidRPr="00E524EB" w:rsidRDefault="004D212F" w:rsidP="00A02986">
            <w:pPr>
              <w:contextualSpacing/>
              <w:rPr>
                <w:b/>
              </w:rPr>
            </w:pPr>
            <w:r>
              <w:rPr>
                <w:b/>
              </w:rPr>
              <w:t xml:space="preserve">Describe </w:t>
            </w:r>
            <w:r w:rsidR="00763F0A">
              <w:rPr>
                <w:b/>
              </w:rPr>
              <w:t>how the program</w:t>
            </w:r>
            <w:r>
              <w:rPr>
                <w:b/>
              </w:rPr>
              <w:t xml:space="preserve"> </w:t>
            </w:r>
            <w:r w:rsidR="00D55CC9">
              <w:rPr>
                <w:b/>
              </w:rPr>
              <w:t>support</w:t>
            </w:r>
            <w:r w:rsidR="00763F0A">
              <w:rPr>
                <w:b/>
              </w:rPr>
              <w:t>s</w:t>
            </w:r>
            <w:r w:rsidR="001039F8">
              <w:rPr>
                <w:b/>
              </w:rPr>
              <w:t xml:space="preserve"> the principles of </w:t>
            </w:r>
            <w:r w:rsidR="00A02986">
              <w:rPr>
                <w:b/>
              </w:rPr>
              <w:t xml:space="preserve">your </w:t>
            </w:r>
            <w:r w:rsidR="001039F8">
              <w:rPr>
                <w:b/>
              </w:rPr>
              <w:t>college</w:t>
            </w:r>
            <w:r w:rsidR="00A02986">
              <w:rPr>
                <w:b/>
              </w:rPr>
              <w:t>’s</w:t>
            </w:r>
            <w:r w:rsidR="001039F8">
              <w:rPr>
                <w:b/>
              </w:rPr>
              <w:t xml:space="preserve"> mission</w:t>
            </w:r>
            <w:r w:rsidR="00A02986">
              <w:rPr>
                <w:b/>
              </w:rPr>
              <w:t xml:space="preserve"> statement</w:t>
            </w:r>
            <w:r w:rsidR="008F6382">
              <w:rPr>
                <w:b/>
              </w:rPr>
              <w:t xml:space="preserve"> </w:t>
            </w:r>
            <w:r w:rsidR="008F6382">
              <w:rPr>
                <w:rFonts w:ascii="Arial" w:hAnsi="Arial" w:cs="Arial"/>
                <w:b/>
                <w:bCs/>
                <w:sz w:val="20"/>
                <w:szCs w:val="20"/>
              </w:rPr>
              <w:t>(limit 200 words)</w:t>
            </w:r>
          </w:p>
        </w:tc>
        <w:tc>
          <w:tcPr>
            <w:tcW w:w="11881" w:type="dxa"/>
            <w:vAlign w:val="center"/>
          </w:tcPr>
          <w:p w14:paraId="49588C84" w14:textId="55E9ACAC" w:rsidR="001039F8" w:rsidRPr="00020A39" w:rsidRDefault="00EE703A" w:rsidP="00727E8A">
            <w:pPr>
              <w:contextualSpacing/>
              <w:rPr>
                <w:sz w:val="19"/>
                <w:szCs w:val="19"/>
              </w:rPr>
            </w:pPr>
            <w:r>
              <w:rPr>
                <w:sz w:val="19"/>
                <w:szCs w:val="19"/>
              </w:rPr>
              <w:t xml:space="preserve">The Mission of </w:t>
            </w:r>
            <w:r w:rsidR="007B4C59">
              <w:rPr>
                <w:sz w:val="19"/>
                <w:szCs w:val="19"/>
              </w:rPr>
              <w:t>Los Medanos</w:t>
            </w:r>
            <w:r>
              <w:rPr>
                <w:sz w:val="19"/>
                <w:szCs w:val="19"/>
              </w:rPr>
              <w:t xml:space="preserve"> College is to outreach</w:t>
            </w:r>
            <w:r w:rsidR="007B4C59">
              <w:rPr>
                <w:sz w:val="19"/>
                <w:szCs w:val="19"/>
              </w:rPr>
              <w:t xml:space="preserve"> to the community</w:t>
            </w:r>
            <w:r>
              <w:rPr>
                <w:sz w:val="19"/>
                <w:szCs w:val="19"/>
              </w:rPr>
              <w:t xml:space="preserve"> and provide a quality education. The Choral Division not only completes this mission, but it expands its efforts as its curricular offerings promotes and supports social intelligence, cultural understanding, genders and equitable inclusion and career development. The Choral Division</w:t>
            </w:r>
            <w:r w:rsidR="007B4C59">
              <w:rPr>
                <w:sz w:val="19"/>
                <w:szCs w:val="19"/>
              </w:rPr>
              <w:t xml:space="preserve"> and Students</w:t>
            </w:r>
            <w:r>
              <w:rPr>
                <w:sz w:val="19"/>
                <w:szCs w:val="19"/>
              </w:rPr>
              <w:t xml:space="preserve"> serves as agents of “Social Diversity” via artistry and creative deliveries of public performance and </w:t>
            </w:r>
            <w:r w:rsidR="007B4C59">
              <w:rPr>
                <w:sz w:val="19"/>
                <w:szCs w:val="19"/>
              </w:rPr>
              <w:t>vocal performances. Our aligned mission demonstrates</w:t>
            </w:r>
            <w:r>
              <w:rPr>
                <w:sz w:val="19"/>
                <w:szCs w:val="19"/>
              </w:rPr>
              <w:t xml:space="preserve"> choral/vocal </w:t>
            </w:r>
            <w:r w:rsidR="007B4C59">
              <w:rPr>
                <w:sz w:val="19"/>
                <w:szCs w:val="19"/>
              </w:rPr>
              <w:t>performance in an excellent and highly achieved manner. This is the core mission of Los Medanos College.</w:t>
            </w:r>
          </w:p>
        </w:tc>
      </w:tr>
      <w:tr w:rsidR="008F6382" w14:paraId="0CB12371" w14:textId="77777777" w:rsidTr="00FC028C">
        <w:trPr>
          <w:trHeight w:val="1151"/>
        </w:trPr>
        <w:tc>
          <w:tcPr>
            <w:tcW w:w="14436" w:type="dxa"/>
            <w:gridSpan w:val="2"/>
          </w:tcPr>
          <w:p w14:paraId="075C2959" w14:textId="77777777" w:rsidR="00FC028C" w:rsidRPr="001039F8" w:rsidRDefault="00FC028C" w:rsidP="00FC028C">
            <w:pPr>
              <w:contextualSpacing/>
              <w:rPr>
                <w:i/>
                <w:sz w:val="19"/>
                <w:szCs w:val="19"/>
              </w:rPr>
            </w:pPr>
            <w:r w:rsidRPr="001039F8">
              <w:rPr>
                <w:i/>
                <w:sz w:val="19"/>
                <w:szCs w:val="19"/>
              </w:rPr>
              <w:t>Supplemental Support</w:t>
            </w:r>
            <w:r>
              <w:rPr>
                <w:i/>
                <w:sz w:val="19"/>
                <w:szCs w:val="19"/>
              </w:rPr>
              <w:t xml:space="preserve"> or Evidence (optional—included in the 200 word limit)</w:t>
            </w:r>
            <w:r w:rsidRPr="001039F8">
              <w:rPr>
                <w:i/>
                <w:sz w:val="19"/>
                <w:szCs w:val="19"/>
              </w:rPr>
              <w:t>:</w:t>
            </w:r>
          </w:p>
          <w:p w14:paraId="38EA399E" w14:textId="49E08C0C" w:rsidR="008F6382" w:rsidRPr="00020A39" w:rsidRDefault="008F6382" w:rsidP="00727E8A">
            <w:pPr>
              <w:contextualSpacing/>
              <w:rPr>
                <w:sz w:val="19"/>
                <w:szCs w:val="19"/>
              </w:rPr>
            </w:pPr>
          </w:p>
        </w:tc>
      </w:tr>
      <w:tr w:rsidR="001039F8" w14:paraId="4B4E5DAE" w14:textId="77777777">
        <w:trPr>
          <w:trHeight w:val="1970"/>
        </w:trPr>
        <w:tc>
          <w:tcPr>
            <w:tcW w:w="2555" w:type="dxa"/>
            <w:vAlign w:val="center"/>
          </w:tcPr>
          <w:p w14:paraId="02A94CA5" w14:textId="1F4FF037" w:rsidR="001039F8" w:rsidRPr="00E524EB" w:rsidRDefault="005336D0" w:rsidP="006233FA">
            <w:pPr>
              <w:contextualSpacing/>
              <w:rPr>
                <w:b/>
              </w:rPr>
            </w:pPr>
            <w:r>
              <w:rPr>
                <w:b/>
              </w:rPr>
              <w:lastRenderedPageBreak/>
              <w:t>Explain h</w:t>
            </w:r>
            <w:r w:rsidR="00763F0A">
              <w:rPr>
                <w:b/>
              </w:rPr>
              <w:t xml:space="preserve">ow </w:t>
            </w:r>
            <w:r>
              <w:rPr>
                <w:b/>
              </w:rPr>
              <w:t xml:space="preserve">this program </w:t>
            </w:r>
            <w:r w:rsidR="00763F0A">
              <w:rPr>
                <w:b/>
              </w:rPr>
              <w:t xml:space="preserve">can be a model for other </w:t>
            </w:r>
            <w:r w:rsidR="00763F0A" w:rsidRPr="008640CE">
              <w:rPr>
                <w:b/>
              </w:rPr>
              <w:t>community colleges</w:t>
            </w:r>
            <w:r w:rsidR="008F6382" w:rsidRPr="008640CE">
              <w:rPr>
                <w:b/>
              </w:rPr>
              <w:t xml:space="preserve"> </w:t>
            </w:r>
            <w:r w:rsidR="006233FA" w:rsidRPr="008640CE">
              <w:rPr>
                <w:b/>
              </w:rPr>
              <w:t>addressing such issues as costs and replication</w:t>
            </w:r>
            <w:r w:rsidR="006233FA">
              <w:rPr>
                <w:b/>
              </w:rPr>
              <w:t xml:space="preserve"> </w:t>
            </w:r>
            <w:r w:rsidR="008F6382">
              <w:rPr>
                <w:rFonts w:ascii="Arial" w:hAnsi="Arial" w:cs="Arial"/>
                <w:b/>
                <w:bCs/>
                <w:sz w:val="20"/>
                <w:szCs w:val="20"/>
              </w:rPr>
              <w:t>(limit 200 words)</w:t>
            </w:r>
          </w:p>
        </w:tc>
        <w:tc>
          <w:tcPr>
            <w:tcW w:w="11881" w:type="dxa"/>
            <w:vAlign w:val="center"/>
          </w:tcPr>
          <w:p w14:paraId="33EDF7F6" w14:textId="27A96216" w:rsidR="001039F8" w:rsidRPr="00020A39" w:rsidRDefault="007B4C59" w:rsidP="00862FFE">
            <w:pPr>
              <w:contextualSpacing/>
              <w:rPr>
                <w:sz w:val="19"/>
                <w:szCs w:val="19"/>
              </w:rPr>
            </w:pPr>
            <w:r>
              <w:rPr>
                <w:sz w:val="19"/>
                <w:szCs w:val="19"/>
              </w:rPr>
              <w:t xml:space="preserve">The Choral Division has demonstrated the highest level of instruction, community advocacy, outreach, academic clarity, discipline quality, innovation, equity and diversity, transfer, and K12 outreach and marketing. The reputation of the Choral Division is noted in every area of creativity in the nation. The Los Medanos College Gospel Choir has achieved every honor, award, political support and honor that any ensemble can achieved. We are listed in international publication such as the Huffington Post, New York Times and the LA Times. The ensemble performs with the nations most noted artist in every area of performance available. All of these accomplishments have occurred with the goal of using Choral/Vocal Music as the framework to </w:t>
            </w:r>
            <w:r w:rsidR="000F769B">
              <w:rPr>
                <w:sz w:val="19"/>
                <w:szCs w:val="19"/>
              </w:rPr>
              <w:t xml:space="preserve">create </w:t>
            </w:r>
            <w:r w:rsidRPr="000F769B">
              <w:rPr>
                <w:b/>
                <w:i/>
                <w:sz w:val="19"/>
                <w:szCs w:val="19"/>
              </w:rPr>
              <w:t>“</w:t>
            </w:r>
            <w:r w:rsidR="000F769B" w:rsidRPr="000F769B">
              <w:rPr>
                <w:b/>
                <w:i/>
                <w:sz w:val="19"/>
                <w:szCs w:val="19"/>
              </w:rPr>
              <w:t xml:space="preserve">Intersectional </w:t>
            </w:r>
            <w:r w:rsidRPr="000F769B">
              <w:rPr>
                <w:b/>
                <w:i/>
                <w:sz w:val="19"/>
                <w:szCs w:val="19"/>
              </w:rPr>
              <w:t>Learning”</w:t>
            </w:r>
            <w:r>
              <w:rPr>
                <w:sz w:val="19"/>
                <w:szCs w:val="19"/>
              </w:rPr>
              <w:t xml:space="preserve"> in order to </w:t>
            </w:r>
            <w:r w:rsidR="000F769B">
              <w:rPr>
                <w:sz w:val="19"/>
                <w:szCs w:val="19"/>
              </w:rPr>
              <w:t>e</w:t>
            </w:r>
            <w:r>
              <w:rPr>
                <w:sz w:val="19"/>
                <w:szCs w:val="19"/>
              </w:rPr>
              <w:t xml:space="preserve">ducate </w:t>
            </w:r>
            <w:r w:rsidR="000F769B">
              <w:rPr>
                <w:sz w:val="19"/>
                <w:szCs w:val="19"/>
              </w:rPr>
              <w:t xml:space="preserve">the LMC community, adults and our vast array of underserved students.  This supports the work of “Equity”. </w:t>
            </w:r>
          </w:p>
        </w:tc>
      </w:tr>
      <w:tr w:rsidR="008F6382" w14:paraId="1B5D7BBF" w14:textId="77777777" w:rsidTr="00FC028C">
        <w:trPr>
          <w:trHeight w:val="1250"/>
        </w:trPr>
        <w:tc>
          <w:tcPr>
            <w:tcW w:w="14436" w:type="dxa"/>
            <w:gridSpan w:val="2"/>
          </w:tcPr>
          <w:p w14:paraId="75AAFBB1" w14:textId="77777777" w:rsidR="00FC028C" w:rsidRPr="001039F8" w:rsidRDefault="00FC028C" w:rsidP="00FC028C">
            <w:pPr>
              <w:contextualSpacing/>
              <w:rPr>
                <w:i/>
                <w:sz w:val="19"/>
                <w:szCs w:val="19"/>
              </w:rPr>
            </w:pPr>
            <w:r w:rsidRPr="001039F8">
              <w:rPr>
                <w:i/>
                <w:sz w:val="19"/>
                <w:szCs w:val="19"/>
              </w:rPr>
              <w:t>Supplemental Support</w:t>
            </w:r>
            <w:r>
              <w:rPr>
                <w:i/>
                <w:sz w:val="19"/>
                <w:szCs w:val="19"/>
              </w:rPr>
              <w:t xml:space="preserve"> or Evidence (optional—included in the 200 word limit)</w:t>
            </w:r>
            <w:r w:rsidRPr="001039F8">
              <w:rPr>
                <w:i/>
                <w:sz w:val="19"/>
                <w:szCs w:val="19"/>
              </w:rPr>
              <w:t>:</w:t>
            </w:r>
          </w:p>
          <w:p w14:paraId="186CA75E" w14:textId="751CC6B6" w:rsidR="008F6382" w:rsidRPr="00020A39" w:rsidRDefault="008F6382" w:rsidP="00862FFE">
            <w:pPr>
              <w:contextualSpacing/>
              <w:rPr>
                <w:sz w:val="19"/>
                <w:szCs w:val="19"/>
              </w:rPr>
            </w:pPr>
          </w:p>
        </w:tc>
      </w:tr>
    </w:tbl>
    <w:p w14:paraId="6C610382" w14:textId="77777777" w:rsidR="00BF6A63" w:rsidRDefault="00BF6A63" w:rsidP="00727E8A"/>
    <w:sectPr w:rsidR="00BF6A63" w:rsidSect="00FC028C">
      <w:footerReference w:type="default" r:id="rId7"/>
      <w:pgSz w:w="15840" w:h="12240" w:orient="landscape"/>
      <w:pgMar w:top="270" w:right="360" w:bottom="180" w:left="180" w:header="288"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370F7" w14:textId="77777777" w:rsidR="0085050D" w:rsidRDefault="0085050D" w:rsidP="00020A39">
      <w:pPr>
        <w:spacing w:after="0" w:line="240" w:lineRule="auto"/>
      </w:pPr>
      <w:r>
        <w:separator/>
      </w:r>
    </w:p>
  </w:endnote>
  <w:endnote w:type="continuationSeparator" w:id="0">
    <w:p w14:paraId="7F9EC007" w14:textId="77777777" w:rsidR="0085050D" w:rsidRDefault="0085050D" w:rsidP="00020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1CC60" w14:textId="018A8A32" w:rsidR="0082593C" w:rsidRPr="00020A39" w:rsidRDefault="0082593C" w:rsidP="00020A39">
    <w:pPr>
      <w:pStyle w:val="Footer"/>
      <w:tabs>
        <w:tab w:val="clear" w:pos="4680"/>
        <w:tab w:val="center" w:pos="2070"/>
      </w:tabs>
      <w:ind w:right="360"/>
      <w:rPr>
        <w:sz w:val="20"/>
        <w:szCs w:val="20"/>
      </w:rPr>
    </w:pPr>
    <w:r>
      <w:rPr>
        <w:sz w:val="20"/>
        <w:szCs w:val="20"/>
      </w:rPr>
      <w:t xml:space="preserve">        Exemplary Program Award</w:t>
    </w:r>
    <w:r w:rsidR="002455D8">
      <w:rPr>
        <w:sz w:val="20"/>
        <w:szCs w:val="20"/>
      </w:rPr>
      <w:t xml:space="preserve">: </w:t>
    </w:r>
    <w:r w:rsidR="006629BC">
      <w:rPr>
        <w:sz w:val="20"/>
        <w:szCs w:val="20"/>
      </w:rPr>
      <w:t>2019-20</w:t>
    </w:r>
    <w:r w:rsidRPr="00020A39">
      <w:rPr>
        <w:sz w:val="20"/>
        <w:szCs w:val="20"/>
      </w:rPr>
      <w:tab/>
    </w:r>
    <w:r w:rsidRPr="00020A39">
      <w:rPr>
        <w:sz w:val="20"/>
        <w:szCs w:val="20"/>
      </w:rPr>
      <w:tab/>
    </w:r>
    <w:r w:rsidRPr="00020A39">
      <w:rPr>
        <w:sz w:val="20"/>
        <w:szCs w:val="20"/>
      </w:rPr>
      <w:tab/>
    </w:r>
    <w:r w:rsidRPr="00020A39">
      <w:rPr>
        <w:sz w:val="20"/>
        <w:szCs w:val="20"/>
      </w:rPr>
      <w:tab/>
    </w:r>
    <w:r w:rsidRPr="00020A39">
      <w:rPr>
        <w:sz w:val="20"/>
        <w:szCs w:val="20"/>
      </w:rPr>
      <w:tab/>
    </w:r>
    <w:r w:rsidRPr="00020A39">
      <w:rPr>
        <w:sz w:val="20"/>
        <w:szCs w:val="20"/>
      </w:rPr>
      <w:tab/>
    </w:r>
    <w:r w:rsidRPr="00020A39">
      <w:rPr>
        <w:sz w:val="20"/>
        <w:szCs w:val="20"/>
      </w:rPr>
      <w:tab/>
    </w:r>
    <w:r w:rsidRPr="00020A39">
      <w:rPr>
        <w:sz w:val="20"/>
        <w:szCs w:val="20"/>
      </w:rPr>
      <w:tab/>
    </w:r>
    <w:r w:rsidR="00FC028C" w:rsidRPr="00FC028C">
      <w:rPr>
        <w:sz w:val="20"/>
        <w:szCs w:val="20"/>
      </w:rPr>
      <w:fldChar w:fldCharType="begin"/>
    </w:r>
    <w:r w:rsidR="00FC028C" w:rsidRPr="00FC028C">
      <w:rPr>
        <w:sz w:val="20"/>
        <w:szCs w:val="20"/>
      </w:rPr>
      <w:instrText xml:space="preserve"> PAGE   \* MERGEFORMAT </w:instrText>
    </w:r>
    <w:r w:rsidR="00FC028C" w:rsidRPr="00FC028C">
      <w:rPr>
        <w:sz w:val="20"/>
        <w:szCs w:val="20"/>
      </w:rPr>
      <w:fldChar w:fldCharType="separate"/>
    </w:r>
    <w:r w:rsidR="00FD30E8">
      <w:rPr>
        <w:noProof/>
        <w:sz w:val="20"/>
        <w:szCs w:val="20"/>
      </w:rPr>
      <w:t>2</w:t>
    </w:r>
    <w:r w:rsidR="00FC028C" w:rsidRPr="00FC028C">
      <w:rPr>
        <w:noProof/>
        <w:sz w:val="20"/>
        <w:szCs w:val="20"/>
      </w:rPr>
      <w:fldChar w:fldCharType="end"/>
    </w:r>
  </w:p>
  <w:p w14:paraId="091A3BB8" w14:textId="77777777" w:rsidR="0082593C" w:rsidRDefault="0082593C" w:rsidP="00020A39"/>
  <w:p w14:paraId="4E71C833" w14:textId="77777777" w:rsidR="0082593C" w:rsidRDefault="0082593C">
    <w:pPr>
      <w:pStyle w:val="Footer"/>
    </w:pPr>
  </w:p>
  <w:p w14:paraId="7E1A3BDE" w14:textId="77777777" w:rsidR="0082593C" w:rsidRDefault="00825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BE729" w14:textId="77777777" w:rsidR="0085050D" w:rsidRDefault="0085050D" w:rsidP="00020A39">
      <w:pPr>
        <w:spacing w:after="0" w:line="240" w:lineRule="auto"/>
      </w:pPr>
      <w:r>
        <w:separator/>
      </w:r>
    </w:p>
  </w:footnote>
  <w:footnote w:type="continuationSeparator" w:id="0">
    <w:p w14:paraId="6D47F0FF" w14:textId="77777777" w:rsidR="0085050D" w:rsidRDefault="0085050D" w:rsidP="00020A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FD"/>
    <w:rsid w:val="00020A39"/>
    <w:rsid w:val="00061390"/>
    <w:rsid w:val="000808C8"/>
    <w:rsid w:val="000A1FD3"/>
    <w:rsid w:val="000B7B2B"/>
    <w:rsid w:val="000C53F0"/>
    <w:rsid w:val="000F769B"/>
    <w:rsid w:val="001039F8"/>
    <w:rsid w:val="001648D6"/>
    <w:rsid w:val="0016521E"/>
    <w:rsid w:val="001C32B9"/>
    <w:rsid w:val="001D4C0C"/>
    <w:rsid w:val="001F38E8"/>
    <w:rsid w:val="00221C23"/>
    <w:rsid w:val="002455D8"/>
    <w:rsid w:val="0025747D"/>
    <w:rsid w:val="002827E7"/>
    <w:rsid w:val="002B4C35"/>
    <w:rsid w:val="002C155E"/>
    <w:rsid w:val="002D27FB"/>
    <w:rsid w:val="0038387C"/>
    <w:rsid w:val="003B316A"/>
    <w:rsid w:val="004725F9"/>
    <w:rsid w:val="004B301F"/>
    <w:rsid w:val="004B5857"/>
    <w:rsid w:val="004D212F"/>
    <w:rsid w:val="005336D0"/>
    <w:rsid w:val="006233FA"/>
    <w:rsid w:val="006240FD"/>
    <w:rsid w:val="006629BC"/>
    <w:rsid w:val="006A1BA6"/>
    <w:rsid w:val="00714A89"/>
    <w:rsid w:val="00727E8A"/>
    <w:rsid w:val="0073492F"/>
    <w:rsid w:val="0075625C"/>
    <w:rsid w:val="00763F0A"/>
    <w:rsid w:val="007B4C59"/>
    <w:rsid w:val="007E65B7"/>
    <w:rsid w:val="0082242E"/>
    <w:rsid w:val="0082593C"/>
    <w:rsid w:val="0085050D"/>
    <w:rsid w:val="00862FFE"/>
    <w:rsid w:val="008640CE"/>
    <w:rsid w:val="008F6382"/>
    <w:rsid w:val="00900979"/>
    <w:rsid w:val="00904E36"/>
    <w:rsid w:val="009219B4"/>
    <w:rsid w:val="009734F1"/>
    <w:rsid w:val="009B10CD"/>
    <w:rsid w:val="009E63FB"/>
    <w:rsid w:val="00A02986"/>
    <w:rsid w:val="00A72365"/>
    <w:rsid w:val="00AF57F5"/>
    <w:rsid w:val="00BB3DFE"/>
    <w:rsid w:val="00BC08D9"/>
    <w:rsid w:val="00BC756F"/>
    <w:rsid w:val="00BF6A63"/>
    <w:rsid w:val="00BF7465"/>
    <w:rsid w:val="00D21F2E"/>
    <w:rsid w:val="00D35CFE"/>
    <w:rsid w:val="00D41129"/>
    <w:rsid w:val="00D55CC9"/>
    <w:rsid w:val="00D965F5"/>
    <w:rsid w:val="00DE32EB"/>
    <w:rsid w:val="00DF01AC"/>
    <w:rsid w:val="00E74DA5"/>
    <w:rsid w:val="00E8277E"/>
    <w:rsid w:val="00EB5C2C"/>
    <w:rsid w:val="00ED0637"/>
    <w:rsid w:val="00ED67C7"/>
    <w:rsid w:val="00EE703A"/>
    <w:rsid w:val="00F622FF"/>
    <w:rsid w:val="00FC028C"/>
    <w:rsid w:val="00FC4149"/>
    <w:rsid w:val="00FD30E8"/>
    <w:rsid w:val="00FF10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4075503C"/>
  <w15:docId w15:val="{32C99F8E-536B-4266-8041-FF6E1C91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F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40F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20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A39"/>
    <w:rPr>
      <w:rFonts w:eastAsiaTheme="minorEastAsia"/>
    </w:rPr>
  </w:style>
  <w:style w:type="paragraph" w:styleId="Footer">
    <w:name w:val="footer"/>
    <w:basedOn w:val="Normal"/>
    <w:link w:val="FooterChar"/>
    <w:uiPriority w:val="99"/>
    <w:unhideWhenUsed/>
    <w:rsid w:val="00020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A39"/>
    <w:rPr>
      <w:rFonts w:eastAsiaTheme="minorEastAsia"/>
    </w:rPr>
  </w:style>
  <w:style w:type="paragraph" w:styleId="BalloonText">
    <w:name w:val="Balloon Text"/>
    <w:basedOn w:val="Normal"/>
    <w:link w:val="BalloonTextChar"/>
    <w:uiPriority w:val="99"/>
    <w:semiHidden/>
    <w:unhideWhenUsed/>
    <w:rsid w:val="00020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3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1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rs025</dc:creator>
  <cp:lastModifiedBy>Abigail Duldulao</cp:lastModifiedBy>
  <cp:revision>2</cp:revision>
  <dcterms:created xsi:type="dcterms:W3CDTF">2019-10-18T21:19:00Z</dcterms:created>
  <dcterms:modified xsi:type="dcterms:W3CDTF">2019-10-18T21:19:00Z</dcterms:modified>
</cp:coreProperties>
</file>