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08E0B" w14:textId="4D3BA1A3" w:rsidR="009A575D" w:rsidRPr="009A575D" w:rsidRDefault="009A575D" w:rsidP="009A575D">
      <w:pPr>
        <w:jc w:val="center"/>
        <w:rPr>
          <w:b/>
          <w:sz w:val="28"/>
          <w:szCs w:val="28"/>
        </w:rPr>
      </w:pPr>
      <w:r>
        <w:rPr>
          <w:b/>
          <w:sz w:val="28"/>
          <w:szCs w:val="28"/>
          <w:highlight w:val="lightGray"/>
        </w:rPr>
        <w:t xml:space="preserve">LMC </w:t>
      </w:r>
      <w:bookmarkStart w:id="0" w:name="_GoBack"/>
      <w:bookmarkEnd w:id="0"/>
      <w:r w:rsidRPr="009A575D">
        <w:rPr>
          <w:b/>
          <w:sz w:val="28"/>
          <w:szCs w:val="28"/>
          <w:highlight w:val="lightGray"/>
        </w:rPr>
        <w:t>SALARY HISTORY</w:t>
      </w:r>
    </w:p>
    <w:p w14:paraId="186C6FBA" w14:textId="77777777" w:rsidR="009A575D" w:rsidRDefault="009A575D" w:rsidP="00AA1893"/>
    <w:p w14:paraId="29B03749" w14:textId="78A621D2" w:rsidR="00AA1893" w:rsidRDefault="00AA1893" w:rsidP="00AA1893">
      <w:r>
        <w:tab/>
      </w:r>
      <w:bookmarkStart w:id="1" w:name="_Hlk37837796"/>
      <w:r>
        <w:t>Faculty-FT</w:t>
      </w:r>
      <w:r>
        <w:tab/>
        <w:t>Faculty-PT</w:t>
      </w:r>
      <w:r>
        <w:tab/>
        <w:t>Academic M</w:t>
      </w:r>
      <w:r>
        <w:tab/>
        <w:t>Classified M</w:t>
      </w:r>
      <w:r>
        <w:tab/>
        <w:t>Overall Total expend</w:t>
      </w:r>
    </w:p>
    <w:p w14:paraId="6845C788" w14:textId="77777777" w:rsidR="00AA1893" w:rsidRDefault="00AA1893" w:rsidP="00AA1893">
      <w:r>
        <w:t>2019-20</w:t>
      </w:r>
      <w:r>
        <w:tab/>
        <w:t>$10.2</w:t>
      </w:r>
      <w:r>
        <w:tab/>
      </w:r>
      <w:r>
        <w:tab/>
        <w:t>$8.4</w:t>
      </w:r>
      <w:r>
        <w:tab/>
      </w:r>
      <w:r>
        <w:tab/>
        <w:t>2.0</w:t>
      </w:r>
      <w:r>
        <w:tab/>
      </w:r>
      <w:r>
        <w:tab/>
        <w:t xml:space="preserve">1.15 </w:t>
      </w:r>
      <w:r>
        <w:tab/>
      </w:r>
      <w:r>
        <w:tab/>
        <w:t>45.7</w:t>
      </w:r>
    </w:p>
    <w:p w14:paraId="58048858" w14:textId="77777777" w:rsidR="00AA1893" w:rsidRDefault="00AA1893" w:rsidP="00AA1893">
      <w:r>
        <w:t>2018-19</w:t>
      </w:r>
      <w:r>
        <w:tab/>
        <w:t>$9.9</w:t>
      </w:r>
      <w:r>
        <w:tab/>
      </w:r>
      <w:r>
        <w:tab/>
        <w:t>$8.1</w:t>
      </w:r>
      <w:r>
        <w:tab/>
      </w:r>
      <w:r>
        <w:tab/>
        <w:t>$1.9</w:t>
      </w:r>
      <w:r>
        <w:tab/>
      </w:r>
      <w:r>
        <w:tab/>
        <w:t>$1.2</w:t>
      </w:r>
      <w:r>
        <w:tab/>
      </w:r>
      <w:r>
        <w:tab/>
        <w:t>43.7</w:t>
      </w:r>
    </w:p>
    <w:p w14:paraId="40EF6CF0" w14:textId="77777777" w:rsidR="00AA1893" w:rsidRDefault="00AA1893" w:rsidP="00AA1893">
      <w:r>
        <w:t>2017-18</w:t>
      </w:r>
      <w:r>
        <w:tab/>
        <w:t>$9.9</w:t>
      </w:r>
      <w:r>
        <w:tab/>
      </w:r>
      <w:r>
        <w:tab/>
        <w:t>$7.9</w:t>
      </w:r>
      <w:r>
        <w:tab/>
      </w:r>
      <w:r>
        <w:tab/>
        <w:t>$1.9</w:t>
      </w:r>
      <w:r>
        <w:tab/>
      </w:r>
      <w:r>
        <w:tab/>
        <w:t>$1.1</w:t>
      </w:r>
      <w:r>
        <w:tab/>
      </w:r>
      <w:r>
        <w:tab/>
        <w:t>42.3</w:t>
      </w:r>
    </w:p>
    <w:p w14:paraId="3C330C47" w14:textId="77777777" w:rsidR="00AA1893" w:rsidRDefault="00AA1893" w:rsidP="00AA1893">
      <w:r>
        <w:t>2016-17</w:t>
      </w:r>
      <w:r>
        <w:tab/>
        <w:t>9.7</w:t>
      </w:r>
      <w:r>
        <w:tab/>
      </w:r>
      <w:r>
        <w:tab/>
        <w:t>8.0</w:t>
      </w:r>
      <w:r>
        <w:tab/>
      </w:r>
      <w:r>
        <w:tab/>
        <w:t>1.77</w:t>
      </w:r>
      <w:r>
        <w:tab/>
      </w:r>
      <w:r>
        <w:tab/>
        <w:t>1.0</w:t>
      </w:r>
      <w:r>
        <w:tab/>
      </w:r>
      <w:r>
        <w:tab/>
        <w:t>40.7</w:t>
      </w:r>
    </w:p>
    <w:p w14:paraId="0D6AD883" w14:textId="77777777" w:rsidR="00AA1893" w:rsidRDefault="00AA1893" w:rsidP="00AA1893">
      <w:r>
        <w:t>2015-16</w:t>
      </w:r>
      <w:r>
        <w:tab/>
        <w:t>9.0</w:t>
      </w:r>
      <w:r>
        <w:tab/>
      </w:r>
      <w:r>
        <w:tab/>
        <w:t>7.7</w:t>
      </w:r>
      <w:r>
        <w:tab/>
      </w:r>
      <w:r>
        <w:tab/>
        <w:t>1.5</w:t>
      </w:r>
      <w:r>
        <w:tab/>
      </w:r>
      <w:r>
        <w:tab/>
        <w:t>1.0</w:t>
      </w:r>
      <w:r>
        <w:tab/>
      </w:r>
      <w:r>
        <w:tab/>
        <w:t>38.3</w:t>
      </w:r>
    </w:p>
    <w:p w14:paraId="5700CF76" w14:textId="77777777" w:rsidR="00AA1893" w:rsidRDefault="00AA1893" w:rsidP="00AA1893">
      <w:r>
        <w:t>2014-15</w:t>
      </w:r>
      <w:r>
        <w:tab/>
        <w:t>9.3</w:t>
      </w:r>
      <w:r>
        <w:tab/>
      </w:r>
      <w:r>
        <w:tab/>
        <w:t>7.0</w:t>
      </w:r>
      <w:r>
        <w:tab/>
      </w:r>
      <w:r>
        <w:tab/>
        <w:t>1.5</w:t>
      </w:r>
      <w:r>
        <w:tab/>
      </w:r>
      <w:r>
        <w:tab/>
        <w:t>1.0</w:t>
      </w:r>
      <w:r>
        <w:tab/>
      </w:r>
      <w:r>
        <w:tab/>
        <w:t>37.0</w:t>
      </w:r>
    </w:p>
    <w:p w14:paraId="5523D2B5" w14:textId="77777777" w:rsidR="00AA1893" w:rsidRDefault="00AA1893" w:rsidP="00AA1893">
      <w:r>
        <w:t>2013-14</w:t>
      </w:r>
      <w:r>
        <w:tab/>
        <w:t>8.9</w:t>
      </w:r>
      <w:r>
        <w:tab/>
      </w:r>
      <w:r>
        <w:tab/>
        <w:t>7.6</w:t>
      </w:r>
      <w:r>
        <w:tab/>
      </w:r>
      <w:r>
        <w:tab/>
        <w:t>1.3</w:t>
      </w:r>
      <w:r>
        <w:tab/>
      </w:r>
      <w:r>
        <w:tab/>
        <w:t>906</w:t>
      </w:r>
      <w:r>
        <w:tab/>
      </w:r>
      <w:r>
        <w:tab/>
        <w:t>38.0</w:t>
      </w:r>
      <w:r>
        <w:tab/>
      </w:r>
    </w:p>
    <w:p w14:paraId="5A5758B9" w14:textId="77777777" w:rsidR="00AA1893" w:rsidRDefault="00AA1893" w:rsidP="00AA1893">
      <w:r>
        <w:t>2012-13</w:t>
      </w:r>
      <w:r>
        <w:tab/>
        <w:t>8.7</w:t>
      </w:r>
      <w:r>
        <w:tab/>
      </w:r>
      <w:r>
        <w:tab/>
        <w:t>5.9</w:t>
      </w:r>
      <w:r>
        <w:tab/>
      </w:r>
      <w:r>
        <w:tab/>
        <w:t>1.3</w:t>
      </w:r>
      <w:r>
        <w:tab/>
      </w:r>
      <w:r>
        <w:tab/>
        <w:t>906</w:t>
      </w:r>
      <w:r>
        <w:tab/>
      </w:r>
      <w:r>
        <w:tab/>
        <w:t>34.2</w:t>
      </w:r>
    </w:p>
    <w:p w14:paraId="63F38B6B" w14:textId="77777777" w:rsidR="00AA1893" w:rsidRDefault="00AA1893" w:rsidP="00AA1893">
      <w:r>
        <w:t>2011-12</w:t>
      </w:r>
      <w:r>
        <w:tab/>
        <w:t>8.9</w:t>
      </w:r>
      <w:r>
        <w:tab/>
      </w:r>
      <w:r>
        <w:tab/>
        <w:t>5.6</w:t>
      </w:r>
      <w:r>
        <w:tab/>
      </w:r>
      <w:r>
        <w:tab/>
        <w:t>1.3</w:t>
      </w:r>
      <w:r>
        <w:tab/>
      </w:r>
      <w:r>
        <w:tab/>
        <w:t>906</w:t>
      </w:r>
      <w:r>
        <w:tab/>
      </w:r>
      <w:r>
        <w:tab/>
        <w:t>35.2</w:t>
      </w:r>
    </w:p>
    <w:p w14:paraId="11387C63" w14:textId="77777777" w:rsidR="00AA1893" w:rsidRDefault="00AA1893" w:rsidP="00AA1893">
      <w:r>
        <w:t>2010-11</w:t>
      </w:r>
      <w:r>
        <w:tab/>
        <w:t>9.0</w:t>
      </w:r>
      <w:r>
        <w:tab/>
      </w:r>
      <w:r>
        <w:tab/>
        <w:t>6.5</w:t>
      </w:r>
      <w:r>
        <w:tab/>
      </w:r>
      <w:r>
        <w:tab/>
        <w:t>1.6</w:t>
      </w:r>
      <w:r>
        <w:tab/>
      </w:r>
      <w:r>
        <w:tab/>
        <w:t>1.1</w:t>
      </w:r>
      <w:r>
        <w:tab/>
      </w:r>
      <w:r>
        <w:tab/>
        <w:t>32.4</w:t>
      </w:r>
      <w:r>
        <w:tab/>
      </w:r>
    </w:p>
    <w:p w14:paraId="5FBEDC57" w14:textId="35CD41CF" w:rsidR="00AA1893" w:rsidRDefault="00AA1893" w:rsidP="00AA1893">
      <w:r>
        <w:t xml:space="preserve">Note: Chart lists salaries in millions of dollars.  Links are to the adoption budget passed by Governing Board each September.  Categorical funding is not represented here (and neither are positions funded by </w:t>
      </w:r>
      <w:proofErr w:type="spellStart"/>
      <w:r>
        <w:t>categoricals</w:t>
      </w:r>
      <w:proofErr w:type="spellEnd"/>
      <w:r>
        <w:t xml:space="preserve">). </w:t>
      </w:r>
    </w:p>
    <w:p w14:paraId="3817CDA6" w14:textId="77777777" w:rsidR="00AA1893" w:rsidRDefault="00AA1893" w:rsidP="00AA1893">
      <w:r>
        <w:t xml:space="preserve">Links </w:t>
      </w:r>
    </w:p>
    <w:p w14:paraId="04391D32" w14:textId="77777777" w:rsidR="00AA1893" w:rsidRDefault="00AA1893" w:rsidP="00AA1893">
      <w:r>
        <w:t xml:space="preserve">19-20 </w:t>
      </w:r>
      <w:hyperlink r:id="rId4" w:history="1">
        <w:r>
          <w:rPr>
            <w:rStyle w:val="Hyperlink"/>
          </w:rPr>
          <w:t>https://go.boarddocs.com/ca/ccccd/Board.nsf/files/BFQQ6P6247C4/$file/0919-FA-19A-19-20%20Adoption%20Budget.pdf</w:t>
        </w:r>
      </w:hyperlink>
    </w:p>
    <w:p w14:paraId="1E21AA02" w14:textId="77777777" w:rsidR="00AA1893" w:rsidRDefault="00AA1893" w:rsidP="00AA1893">
      <w:r>
        <w:t xml:space="preserve">18-19 </w:t>
      </w:r>
      <w:hyperlink r:id="rId5" w:history="1">
        <w:r>
          <w:rPr>
            <w:rStyle w:val="Hyperlink"/>
          </w:rPr>
          <w:t>https://go.boarddocs.com/ca/ccccd/Board.nsf/files/B4B2VQ72E100/$file/0918-FA-18A-2018-19%20Adoption%20Budget.pdf</w:t>
        </w:r>
      </w:hyperlink>
    </w:p>
    <w:p w14:paraId="0C83D3F7" w14:textId="77777777" w:rsidR="00AA1893" w:rsidRDefault="00AA1893" w:rsidP="00AA1893">
      <w:r>
        <w:t xml:space="preserve">17-18 </w:t>
      </w:r>
      <w:hyperlink r:id="rId6" w:history="1">
        <w:r>
          <w:rPr>
            <w:rStyle w:val="Hyperlink"/>
          </w:rPr>
          <w:t>https://go.boarddocs.com/ca/ccccd/Board.nsf/files/B8Q7JL19D47D/$file/2017-09-13.pdf</w:t>
        </w:r>
      </w:hyperlink>
    </w:p>
    <w:p w14:paraId="386757EA" w14:textId="77777777" w:rsidR="00AA1893" w:rsidRDefault="00AA1893" w:rsidP="00AA1893">
      <w:r>
        <w:t xml:space="preserve">16-17 </w:t>
      </w:r>
      <w:hyperlink r:id="rId7" w:history="1">
        <w:r>
          <w:rPr>
            <w:rStyle w:val="Hyperlink"/>
          </w:rPr>
          <w:t>https://go.boarddocs.com/ca/ccccd/Board.nsf/files/B8Q7CG18E57F/$file/2016-09-14.pdf</w:t>
        </w:r>
      </w:hyperlink>
    </w:p>
    <w:p w14:paraId="6FA473C9" w14:textId="77777777" w:rsidR="00AA1893" w:rsidRDefault="00AA1893" w:rsidP="00AA1893"/>
    <w:p w14:paraId="12FAE6AD" w14:textId="77777777" w:rsidR="00AA1893" w:rsidRDefault="00AA1893" w:rsidP="00AA1893">
      <w:r>
        <w:t>15-16</w:t>
      </w:r>
      <w:r w:rsidRPr="000839FF">
        <w:t xml:space="preserve"> </w:t>
      </w:r>
      <w:hyperlink r:id="rId8" w:history="1">
        <w:r>
          <w:rPr>
            <w:rStyle w:val="Hyperlink"/>
          </w:rPr>
          <w:t>https://go.boarddocs.com/ca/ccccd/Board.nsf/files/B8Q76U181922/$file/2015-09-09.pdf</w:t>
        </w:r>
      </w:hyperlink>
    </w:p>
    <w:p w14:paraId="3E7029AE" w14:textId="77777777" w:rsidR="00AA1893" w:rsidRDefault="00AA1893" w:rsidP="00AA1893">
      <w:r>
        <w:t xml:space="preserve">14-15 </w:t>
      </w:r>
      <w:hyperlink r:id="rId9" w:history="1">
        <w:r>
          <w:rPr>
            <w:rStyle w:val="Hyperlink"/>
          </w:rPr>
          <w:t>https://go.boarddocs.com/ca/ccccd/Board.nsf/files/B8Q6ZF1746C1/$file/2014-09-10.pdf</w:t>
        </w:r>
      </w:hyperlink>
    </w:p>
    <w:p w14:paraId="6FFBBFD7" w14:textId="77777777" w:rsidR="00AA1893" w:rsidRDefault="00AA1893" w:rsidP="00AA1893">
      <w:r>
        <w:t xml:space="preserve">13-14 </w:t>
      </w:r>
      <w:hyperlink r:id="rId10" w:history="1">
        <w:r>
          <w:rPr>
            <w:rStyle w:val="Hyperlink"/>
          </w:rPr>
          <w:t>https://go.boarddocs.com/ca/ccccd/Board.nsf/files/B8Q6HA14DEBB/$file/2013-09-11.pdf</w:t>
        </w:r>
      </w:hyperlink>
    </w:p>
    <w:p w14:paraId="27FB8DD3" w14:textId="77777777" w:rsidR="00AA1893" w:rsidRDefault="00AA1893" w:rsidP="00AA1893">
      <w:r>
        <w:t xml:space="preserve">12-13 </w:t>
      </w:r>
      <w:hyperlink r:id="rId11" w:history="1">
        <w:r>
          <w:rPr>
            <w:rStyle w:val="Hyperlink"/>
          </w:rPr>
          <w:t>https://go.boarddocs.com/ca/ccccd/Board.nsf/files/B8Q5ZN126B99/$file/2012-09-12.pdf</w:t>
        </w:r>
      </w:hyperlink>
    </w:p>
    <w:p w14:paraId="787C8EB9" w14:textId="77777777" w:rsidR="00AA1893" w:rsidRDefault="00AA1893" w:rsidP="00AA1893">
      <w:r>
        <w:t xml:space="preserve">11-12 </w:t>
      </w:r>
      <w:hyperlink r:id="rId12" w:history="1">
        <w:r>
          <w:rPr>
            <w:rStyle w:val="Hyperlink"/>
          </w:rPr>
          <w:t>https://go.boarddocs.com/ca/ccccd/Board.nsf/files/B8Q5HX105A2B/$file/2011-09-14.pdf</w:t>
        </w:r>
      </w:hyperlink>
    </w:p>
    <w:p w14:paraId="5D7C3C73" w14:textId="77777777" w:rsidR="00AA1893" w:rsidRDefault="00AA1893" w:rsidP="00AA1893">
      <w:r>
        <w:t xml:space="preserve">10-11 </w:t>
      </w:r>
      <w:hyperlink r:id="rId13" w:history="1">
        <w:r>
          <w:rPr>
            <w:rStyle w:val="Hyperlink"/>
          </w:rPr>
          <w:t>https://go.boarddocs.com/ca/ccccd/Board.nsf/files/B8Q5540E261A/$file/2010-09-08.pdf</w:t>
        </w:r>
      </w:hyperlink>
      <w:bookmarkEnd w:id="1"/>
    </w:p>
    <w:p w14:paraId="022801B1" w14:textId="77777777" w:rsidR="00AA1893" w:rsidRDefault="00AA1893" w:rsidP="00AA1893">
      <w:r>
        <w:rPr>
          <w:noProof/>
        </w:rPr>
        <w:lastRenderedPageBreak/>
        <w:drawing>
          <wp:inline distT="0" distB="0" distL="0" distR="0" wp14:anchorId="59C49CEA" wp14:editId="66C4B4AB">
            <wp:extent cx="6362382" cy="3200400"/>
            <wp:effectExtent l="0" t="0" r="63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D584B8" w14:textId="77777777" w:rsidR="00AA1893" w:rsidRDefault="00AA1893" w:rsidP="00AA1893"/>
    <w:p w14:paraId="41516123" w14:textId="77777777" w:rsidR="00AA1893" w:rsidRDefault="00AA1893" w:rsidP="00AA1893">
      <w:r>
        <w:t xml:space="preserve">Note: </w:t>
      </w:r>
    </w:p>
    <w:p w14:paraId="6A084179" w14:textId="77777777" w:rsidR="00AA1893" w:rsidRDefault="00AA1893" w:rsidP="00AA1893">
      <w:r>
        <w:t xml:space="preserve">Graph lists faculty, academic and classified managers salary as % of total expenditures.  </w:t>
      </w:r>
    </w:p>
    <w:p w14:paraId="024F5959" w14:textId="77777777" w:rsidR="008025B6" w:rsidRDefault="008025B6"/>
    <w:sectPr w:rsidR="008025B6" w:rsidSect="009A575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93"/>
    <w:rsid w:val="008025B6"/>
    <w:rsid w:val="009A575D"/>
    <w:rsid w:val="00AA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D996"/>
  <w15:chartTrackingRefBased/>
  <w15:docId w15:val="{9B6B8A8D-42B1-40B2-8202-116ED584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18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oarddocs.com/ca/ccccd/Board.nsf/files/B8Q76U181922/$file/2015-09-09.pdf" TargetMode="External"/><Relationship Id="rId13" Type="http://schemas.openxmlformats.org/officeDocument/2006/relationships/hyperlink" Target="https://go.boarddocs.com/ca/ccccd/Board.nsf/files/B8Q5540E261A/$file/2010-09-08.pdf" TargetMode="External"/><Relationship Id="rId3" Type="http://schemas.openxmlformats.org/officeDocument/2006/relationships/webSettings" Target="webSettings.xml"/><Relationship Id="rId7" Type="http://schemas.openxmlformats.org/officeDocument/2006/relationships/hyperlink" Target="https://go.boarddocs.com/ca/ccccd/Board.nsf/files/B8Q7CG18E57F/$file/2016-09-14.pdf" TargetMode="External"/><Relationship Id="rId12" Type="http://schemas.openxmlformats.org/officeDocument/2006/relationships/hyperlink" Target="https://go.boarddocs.com/ca/ccccd/Board.nsf/files/B8Q5HX105A2B/$file/2011-09-14.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o.boarddocs.com/ca/ccccd/Board.nsf/files/B8Q7JL19D47D/$file/2017-09-13.pdf" TargetMode="External"/><Relationship Id="rId11" Type="http://schemas.openxmlformats.org/officeDocument/2006/relationships/hyperlink" Target="https://go.boarddocs.com/ca/ccccd/Board.nsf/files/B8Q5ZN126B99/$file/2012-09-12.pdf" TargetMode="External"/><Relationship Id="rId5" Type="http://schemas.openxmlformats.org/officeDocument/2006/relationships/hyperlink" Target="https://go.boarddocs.com/ca/ccccd/Board.nsf/files/B4B2VQ72E100/$file/0918-FA-18A-2018-19%20Adoption%20Budget.pdf" TargetMode="External"/><Relationship Id="rId15" Type="http://schemas.openxmlformats.org/officeDocument/2006/relationships/fontTable" Target="fontTable.xml"/><Relationship Id="rId10" Type="http://schemas.openxmlformats.org/officeDocument/2006/relationships/hyperlink" Target="https://go.boarddocs.com/ca/ccccd/Board.nsf/files/B8Q6HA14DEBB/$file/2013-09-11.pdf" TargetMode="External"/><Relationship Id="rId4" Type="http://schemas.openxmlformats.org/officeDocument/2006/relationships/hyperlink" Target="https://go.boarddocs.com/ca/ccccd/Board.nsf/files/BFQQ6P6247C4/$file/0919-FA-19A-19-20%20Adoption%20Budget.pdf" TargetMode="External"/><Relationship Id="rId9" Type="http://schemas.openxmlformats.org/officeDocument/2006/relationships/hyperlink" Target="https://go.boarddocs.com/ca/ccccd/Board.nsf/files/B8Q6ZF1746C1/$file/2014-09-10.pdf"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LMC Salaries </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FT Faculty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Sheet1!$A$2:$A$11</c:f>
              <c:strCache>
                <c:ptCount val="10"/>
                <c:pt idx="0">
                  <c:v>2019-2020</c:v>
                </c:pt>
                <c:pt idx="1">
                  <c:v>2018-2019</c:v>
                </c:pt>
                <c:pt idx="2">
                  <c:v>2017-2018</c:v>
                </c:pt>
                <c:pt idx="3">
                  <c:v>2016-2017</c:v>
                </c:pt>
                <c:pt idx="4">
                  <c:v>2015-2016</c:v>
                </c:pt>
                <c:pt idx="5">
                  <c:v>2014-2015</c:v>
                </c:pt>
                <c:pt idx="6">
                  <c:v>2013-2014</c:v>
                </c:pt>
                <c:pt idx="7">
                  <c:v>2012-2013</c:v>
                </c:pt>
                <c:pt idx="8">
                  <c:v>2011-2012</c:v>
                </c:pt>
                <c:pt idx="9">
                  <c:v>2010-2011</c:v>
                </c:pt>
              </c:strCache>
            </c:strRef>
          </c:cat>
          <c:val>
            <c:numRef>
              <c:f>Sheet1!$B$2:$B$11</c:f>
              <c:numCache>
                <c:formatCode>General</c:formatCode>
                <c:ptCount val="10"/>
                <c:pt idx="0">
                  <c:v>22.3</c:v>
                </c:pt>
                <c:pt idx="1">
                  <c:v>22.6</c:v>
                </c:pt>
                <c:pt idx="2">
                  <c:v>23.4</c:v>
                </c:pt>
                <c:pt idx="3">
                  <c:v>23.8</c:v>
                </c:pt>
                <c:pt idx="4">
                  <c:v>23.4</c:v>
                </c:pt>
                <c:pt idx="5">
                  <c:v>25.1</c:v>
                </c:pt>
                <c:pt idx="6">
                  <c:v>23.4</c:v>
                </c:pt>
                <c:pt idx="7">
                  <c:v>25.4</c:v>
                </c:pt>
                <c:pt idx="8">
                  <c:v>25.3</c:v>
                </c:pt>
                <c:pt idx="9">
                  <c:v>27.7</c:v>
                </c:pt>
              </c:numCache>
            </c:numRef>
          </c:val>
          <c:extLst>
            <c:ext xmlns:c16="http://schemas.microsoft.com/office/drawing/2014/chart" uri="{C3380CC4-5D6E-409C-BE32-E72D297353CC}">
              <c16:uniqueId val="{00000000-31F2-4B58-B4A3-C0C00848249D}"/>
            </c:ext>
          </c:extLst>
        </c:ser>
        <c:ser>
          <c:idx val="1"/>
          <c:order val="1"/>
          <c:tx>
            <c:strRef>
              <c:f>Sheet1!$C$1</c:f>
              <c:strCache>
                <c:ptCount val="1"/>
                <c:pt idx="0">
                  <c:v>PT Faculty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Sheet1!$A$2:$A$11</c:f>
              <c:strCache>
                <c:ptCount val="10"/>
                <c:pt idx="0">
                  <c:v>2019-2020</c:v>
                </c:pt>
                <c:pt idx="1">
                  <c:v>2018-2019</c:v>
                </c:pt>
                <c:pt idx="2">
                  <c:v>2017-2018</c:v>
                </c:pt>
                <c:pt idx="3">
                  <c:v>2016-2017</c:v>
                </c:pt>
                <c:pt idx="4">
                  <c:v>2015-2016</c:v>
                </c:pt>
                <c:pt idx="5">
                  <c:v>2014-2015</c:v>
                </c:pt>
                <c:pt idx="6">
                  <c:v>2013-2014</c:v>
                </c:pt>
                <c:pt idx="7">
                  <c:v>2012-2013</c:v>
                </c:pt>
                <c:pt idx="8">
                  <c:v>2011-2012</c:v>
                </c:pt>
                <c:pt idx="9">
                  <c:v>2010-2011</c:v>
                </c:pt>
              </c:strCache>
            </c:strRef>
          </c:cat>
          <c:val>
            <c:numRef>
              <c:f>Sheet1!$C$2:$C$11</c:f>
              <c:numCache>
                <c:formatCode>General</c:formatCode>
                <c:ptCount val="10"/>
                <c:pt idx="0">
                  <c:v>18.3</c:v>
                </c:pt>
                <c:pt idx="1">
                  <c:v>18.5</c:v>
                </c:pt>
                <c:pt idx="2">
                  <c:v>19.600000000000001</c:v>
                </c:pt>
                <c:pt idx="3">
                  <c:v>19.600000000000001</c:v>
                </c:pt>
                <c:pt idx="4">
                  <c:v>20.100000000000001</c:v>
                </c:pt>
                <c:pt idx="5">
                  <c:v>18.899999999999999</c:v>
                </c:pt>
                <c:pt idx="6">
                  <c:v>20</c:v>
                </c:pt>
                <c:pt idx="7">
                  <c:v>17.2</c:v>
                </c:pt>
                <c:pt idx="8">
                  <c:v>15.9</c:v>
                </c:pt>
                <c:pt idx="9">
                  <c:v>20.100000000000001</c:v>
                </c:pt>
              </c:numCache>
            </c:numRef>
          </c:val>
          <c:extLst>
            <c:ext xmlns:c16="http://schemas.microsoft.com/office/drawing/2014/chart" uri="{C3380CC4-5D6E-409C-BE32-E72D297353CC}">
              <c16:uniqueId val="{00000001-31F2-4B58-B4A3-C0C00848249D}"/>
            </c:ext>
          </c:extLst>
        </c:ser>
        <c:ser>
          <c:idx val="2"/>
          <c:order val="2"/>
          <c:tx>
            <c:strRef>
              <c:f>Sheet1!$D$1</c:f>
              <c:strCache>
                <c:ptCount val="1"/>
                <c:pt idx="0">
                  <c:v>Academic Managers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Sheet1!$A$2:$A$11</c:f>
              <c:strCache>
                <c:ptCount val="10"/>
                <c:pt idx="0">
                  <c:v>2019-2020</c:v>
                </c:pt>
                <c:pt idx="1">
                  <c:v>2018-2019</c:v>
                </c:pt>
                <c:pt idx="2">
                  <c:v>2017-2018</c:v>
                </c:pt>
                <c:pt idx="3">
                  <c:v>2016-2017</c:v>
                </c:pt>
                <c:pt idx="4">
                  <c:v>2015-2016</c:v>
                </c:pt>
                <c:pt idx="5">
                  <c:v>2014-2015</c:v>
                </c:pt>
                <c:pt idx="6">
                  <c:v>2013-2014</c:v>
                </c:pt>
                <c:pt idx="7">
                  <c:v>2012-2013</c:v>
                </c:pt>
                <c:pt idx="8">
                  <c:v>2011-2012</c:v>
                </c:pt>
                <c:pt idx="9">
                  <c:v>2010-2011</c:v>
                </c:pt>
              </c:strCache>
            </c:strRef>
          </c:cat>
          <c:val>
            <c:numRef>
              <c:f>Sheet1!$D$2:$D$11</c:f>
              <c:numCache>
                <c:formatCode>General</c:formatCode>
                <c:ptCount val="10"/>
                <c:pt idx="0">
                  <c:v>4.3</c:v>
                </c:pt>
                <c:pt idx="1">
                  <c:v>4.3</c:v>
                </c:pt>
                <c:pt idx="2">
                  <c:v>4.3</c:v>
                </c:pt>
                <c:pt idx="3">
                  <c:v>4.3</c:v>
                </c:pt>
                <c:pt idx="4">
                  <c:v>3.9</c:v>
                </c:pt>
                <c:pt idx="5">
                  <c:v>4.0999999999999996</c:v>
                </c:pt>
                <c:pt idx="6">
                  <c:v>3.42</c:v>
                </c:pt>
                <c:pt idx="7">
                  <c:v>3.8</c:v>
                </c:pt>
                <c:pt idx="8">
                  <c:v>3.7</c:v>
                </c:pt>
                <c:pt idx="9">
                  <c:v>4.9000000000000004</c:v>
                </c:pt>
              </c:numCache>
            </c:numRef>
          </c:val>
          <c:extLst>
            <c:ext xmlns:c16="http://schemas.microsoft.com/office/drawing/2014/chart" uri="{C3380CC4-5D6E-409C-BE32-E72D297353CC}">
              <c16:uniqueId val="{00000002-31F2-4B58-B4A3-C0C00848249D}"/>
            </c:ext>
          </c:extLst>
        </c:ser>
        <c:ser>
          <c:idx val="3"/>
          <c:order val="3"/>
          <c:tx>
            <c:strRef>
              <c:f>Sheet1!$E$1</c:f>
              <c:strCache>
                <c:ptCount val="1"/>
                <c:pt idx="0">
                  <c:v>Classified Managers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Sheet1!$A$2:$A$11</c:f>
              <c:strCache>
                <c:ptCount val="10"/>
                <c:pt idx="0">
                  <c:v>2019-2020</c:v>
                </c:pt>
                <c:pt idx="1">
                  <c:v>2018-2019</c:v>
                </c:pt>
                <c:pt idx="2">
                  <c:v>2017-2018</c:v>
                </c:pt>
                <c:pt idx="3">
                  <c:v>2016-2017</c:v>
                </c:pt>
                <c:pt idx="4">
                  <c:v>2015-2016</c:v>
                </c:pt>
                <c:pt idx="5">
                  <c:v>2014-2015</c:v>
                </c:pt>
                <c:pt idx="6">
                  <c:v>2013-2014</c:v>
                </c:pt>
                <c:pt idx="7">
                  <c:v>2012-2013</c:v>
                </c:pt>
                <c:pt idx="8">
                  <c:v>2011-2012</c:v>
                </c:pt>
                <c:pt idx="9">
                  <c:v>2010-2011</c:v>
                </c:pt>
              </c:strCache>
            </c:strRef>
          </c:cat>
          <c:val>
            <c:numRef>
              <c:f>Sheet1!$E$2:$E$11</c:f>
              <c:numCache>
                <c:formatCode>General</c:formatCode>
                <c:ptCount val="10"/>
                <c:pt idx="0">
                  <c:v>2.5</c:v>
                </c:pt>
                <c:pt idx="1">
                  <c:v>2.7</c:v>
                </c:pt>
                <c:pt idx="2">
                  <c:v>2.4</c:v>
                </c:pt>
                <c:pt idx="3">
                  <c:v>2.4</c:v>
                </c:pt>
                <c:pt idx="4">
                  <c:v>2.6</c:v>
                </c:pt>
                <c:pt idx="5">
                  <c:v>2.7</c:v>
                </c:pt>
                <c:pt idx="6">
                  <c:v>2.2999999999999998</c:v>
                </c:pt>
                <c:pt idx="7">
                  <c:v>2.6</c:v>
                </c:pt>
                <c:pt idx="8">
                  <c:v>2.6</c:v>
                </c:pt>
                <c:pt idx="9">
                  <c:v>3.4</c:v>
                </c:pt>
              </c:numCache>
            </c:numRef>
          </c:val>
          <c:extLst>
            <c:ext xmlns:c16="http://schemas.microsoft.com/office/drawing/2014/chart" uri="{C3380CC4-5D6E-409C-BE32-E72D297353CC}">
              <c16:uniqueId val="{00000003-31F2-4B58-B4A3-C0C00848249D}"/>
            </c:ext>
          </c:extLst>
        </c:ser>
        <c:dLbls>
          <c:showLegendKey val="0"/>
          <c:showVal val="0"/>
          <c:showCatName val="0"/>
          <c:showSerName val="0"/>
          <c:showPercent val="0"/>
          <c:showBubbleSize val="0"/>
        </c:dLbls>
        <c:gapWidth val="100"/>
        <c:overlap val="-24"/>
        <c:axId val="538001600"/>
        <c:axId val="986776880"/>
      </c:barChart>
      <c:catAx>
        <c:axId val="5380016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86776880"/>
        <c:crosses val="autoZero"/>
        <c:auto val="1"/>
        <c:lblAlgn val="ctr"/>
        <c:lblOffset val="100"/>
        <c:noMultiLvlLbl val="0"/>
      </c:catAx>
      <c:valAx>
        <c:axId val="98677688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38001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Bearden</dc:creator>
  <cp:keywords/>
  <dc:description/>
  <cp:lastModifiedBy>Duldulao, Abigail</cp:lastModifiedBy>
  <cp:revision>2</cp:revision>
  <dcterms:created xsi:type="dcterms:W3CDTF">2020-04-23T18:26:00Z</dcterms:created>
  <dcterms:modified xsi:type="dcterms:W3CDTF">2020-04-23T18:26:00Z</dcterms:modified>
</cp:coreProperties>
</file>