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866"/>
        <w:tblW w:w="0" w:type="auto"/>
        <w:tblLook w:val="04A0" w:firstRow="1" w:lastRow="0" w:firstColumn="1" w:lastColumn="0" w:noHBand="0" w:noVBand="1"/>
      </w:tblPr>
      <w:tblGrid>
        <w:gridCol w:w="1550"/>
        <w:gridCol w:w="3947"/>
        <w:gridCol w:w="3853"/>
      </w:tblGrid>
      <w:tr w:rsidR="00D413D4" w:rsidTr="00633CE9">
        <w:tc>
          <w:tcPr>
            <w:tcW w:w="1550" w:type="dxa"/>
          </w:tcPr>
          <w:p w:rsidR="00D413D4" w:rsidRPr="00D413D4" w:rsidRDefault="00D413D4" w:rsidP="00633CE9">
            <w:pPr>
              <w:rPr>
                <w:b/>
                <w:sz w:val="22"/>
                <w:szCs w:val="22"/>
              </w:rPr>
            </w:pPr>
            <w:bookmarkStart w:id="0" w:name="_GoBack"/>
            <w:bookmarkEnd w:id="0"/>
            <w:r w:rsidRPr="00D413D4">
              <w:rPr>
                <w:b/>
                <w:sz w:val="22"/>
                <w:szCs w:val="22"/>
              </w:rPr>
              <w:t>COOR Section</w:t>
            </w:r>
          </w:p>
        </w:tc>
        <w:tc>
          <w:tcPr>
            <w:tcW w:w="3947" w:type="dxa"/>
          </w:tcPr>
          <w:p w:rsidR="00D413D4" w:rsidRPr="00D413D4" w:rsidRDefault="00D413D4" w:rsidP="00633CE9">
            <w:pPr>
              <w:rPr>
                <w:b/>
                <w:sz w:val="22"/>
                <w:szCs w:val="22"/>
              </w:rPr>
            </w:pPr>
            <w:r w:rsidRPr="00D413D4">
              <w:rPr>
                <w:b/>
                <w:sz w:val="22"/>
                <w:szCs w:val="22"/>
              </w:rPr>
              <w:t xml:space="preserve">Before </w:t>
            </w:r>
          </w:p>
        </w:tc>
        <w:tc>
          <w:tcPr>
            <w:tcW w:w="3853" w:type="dxa"/>
          </w:tcPr>
          <w:p w:rsidR="00D413D4" w:rsidRPr="00D413D4" w:rsidRDefault="00D413D4" w:rsidP="00633CE9">
            <w:pPr>
              <w:rPr>
                <w:b/>
                <w:sz w:val="22"/>
                <w:szCs w:val="22"/>
              </w:rPr>
            </w:pPr>
            <w:r w:rsidRPr="00D413D4">
              <w:rPr>
                <w:b/>
                <w:sz w:val="22"/>
                <w:szCs w:val="22"/>
              </w:rPr>
              <w:t>After</w:t>
            </w:r>
          </w:p>
        </w:tc>
      </w:tr>
      <w:tr w:rsidR="00D413D4" w:rsidTr="00633CE9">
        <w:tc>
          <w:tcPr>
            <w:tcW w:w="1550" w:type="dxa"/>
          </w:tcPr>
          <w:p w:rsidR="00D413D4" w:rsidRPr="00D413D4" w:rsidRDefault="00D413D4" w:rsidP="00633CE9">
            <w:pPr>
              <w:rPr>
                <w:b/>
                <w:sz w:val="22"/>
                <w:szCs w:val="22"/>
              </w:rPr>
            </w:pPr>
            <w:r w:rsidRPr="00D413D4">
              <w:rPr>
                <w:b/>
                <w:sz w:val="22"/>
                <w:szCs w:val="22"/>
              </w:rPr>
              <w:t>Schedule Description</w:t>
            </w:r>
          </w:p>
        </w:tc>
        <w:tc>
          <w:tcPr>
            <w:tcW w:w="3947" w:type="dxa"/>
          </w:tcPr>
          <w:p w:rsidR="00D413D4" w:rsidRPr="00D413D4" w:rsidRDefault="00D413D4" w:rsidP="00633CE9">
            <w:pPr>
              <w:tabs>
                <w:tab w:val="left" w:pos="2250"/>
                <w:tab w:val="left" w:pos="6451"/>
              </w:tabs>
              <w:rPr>
                <w:rFonts w:ascii="Arial" w:hAnsi="Arial"/>
                <w:sz w:val="22"/>
                <w:szCs w:val="22"/>
              </w:rPr>
            </w:pPr>
            <w:r w:rsidRPr="00D413D4">
              <w:rPr>
                <w:rFonts w:ascii="Arial" w:hAnsi="Arial"/>
                <w:sz w:val="22"/>
                <w:szCs w:val="22"/>
              </w:rPr>
              <w:t xml:space="preserve">Are you interested in a career with a positive employment future?  Welding may be for you. This hands-on course will prepare you with the basic fundamental practice of Shielded Metal Arc welding that is popular for maintenance and repair.  It is recommended that student take Welding 10 before or concurrently with this course. </w:t>
            </w:r>
          </w:p>
          <w:p w:rsidR="00D413D4" w:rsidRPr="00D413D4" w:rsidRDefault="00D413D4" w:rsidP="00633CE9">
            <w:pPr>
              <w:tabs>
                <w:tab w:val="left" w:pos="6451"/>
              </w:tabs>
              <w:rPr>
                <w:rFonts w:ascii="Arial" w:hAnsi="Arial"/>
                <w:sz w:val="22"/>
                <w:szCs w:val="22"/>
              </w:rPr>
            </w:pPr>
          </w:p>
          <w:p w:rsidR="00D413D4" w:rsidRPr="00D413D4" w:rsidRDefault="00D413D4" w:rsidP="00633CE9">
            <w:pPr>
              <w:tabs>
                <w:tab w:val="left" w:pos="6451"/>
              </w:tabs>
              <w:rPr>
                <w:rFonts w:ascii="Arial" w:hAnsi="Arial"/>
                <w:sz w:val="22"/>
                <w:szCs w:val="22"/>
              </w:rPr>
            </w:pPr>
          </w:p>
          <w:p w:rsidR="00D413D4" w:rsidRPr="00D413D4" w:rsidRDefault="00D413D4" w:rsidP="00633CE9">
            <w:pPr>
              <w:rPr>
                <w:sz w:val="22"/>
                <w:szCs w:val="22"/>
              </w:rPr>
            </w:pPr>
          </w:p>
        </w:tc>
        <w:tc>
          <w:tcPr>
            <w:tcW w:w="3853" w:type="dxa"/>
          </w:tcPr>
          <w:p w:rsidR="00D413D4" w:rsidRPr="00D413D4" w:rsidRDefault="00D413D4" w:rsidP="00633CE9">
            <w:pPr>
              <w:tabs>
                <w:tab w:val="left" w:pos="2250"/>
                <w:tab w:val="left" w:pos="6451"/>
              </w:tabs>
              <w:rPr>
                <w:rFonts w:ascii="Arial" w:hAnsi="Arial"/>
                <w:sz w:val="22"/>
                <w:szCs w:val="22"/>
              </w:rPr>
            </w:pPr>
            <w:r w:rsidRPr="00D413D4">
              <w:rPr>
                <w:rFonts w:ascii="Arial" w:hAnsi="Arial"/>
                <w:sz w:val="22"/>
                <w:szCs w:val="22"/>
              </w:rPr>
              <w:t xml:space="preserve">Are you interested in a career with a positive employment future?  Welding may be for you. This hands-on course will introduce you to the world of welding.  By the end of the course, you’ll be able to perform some basic welding.  Specifically you will learn the fundamental practice of Shielded Metal Arc welding that is popular for maintenance and repair applications.  No previous experience necessary.  We welcome all students who have an interest in welding and we look forward to having you in our class.  It is highly recommended that student take Welding 10 before or concurrently with this course. </w:t>
            </w:r>
          </w:p>
          <w:p w:rsidR="00D413D4" w:rsidRPr="00D413D4" w:rsidRDefault="00D413D4" w:rsidP="00633CE9">
            <w:pPr>
              <w:tabs>
                <w:tab w:val="left" w:pos="6451"/>
              </w:tabs>
              <w:rPr>
                <w:rFonts w:ascii="Arial" w:hAnsi="Arial"/>
                <w:sz w:val="22"/>
                <w:szCs w:val="22"/>
              </w:rPr>
            </w:pPr>
          </w:p>
          <w:p w:rsidR="00D413D4" w:rsidRPr="00D413D4" w:rsidRDefault="00D413D4" w:rsidP="00633CE9">
            <w:pPr>
              <w:rPr>
                <w:sz w:val="22"/>
                <w:szCs w:val="22"/>
              </w:rPr>
            </w:pPr>
          </w:p>
        </w:tc>
      </w:tr>
      <w:tr w:rsidR="00D413D4" w:rsidTr="00633CE9">
        <w:tc>
          <w:tcPr>
            <w:tcW w:w="1550" w:type="dxa"/>
          </w:tcPr>
          <w:p w:rsidR="00D413D4" w:rsidRPr="00D413D4" w:rsidRDefault="00D413D4" w:rsidP="00633CE9">
            <w:pPr>
              <w:rPr>
                <w:b/>
                <w:sz w:val="22"/>
                <w:szCs w:val="22"/>
              </w:rPr>
            </w:pPr>
            <w:r w:rsidRPr="00D413D4">
              <w:rPr>
                <w:b/>
                <w:sz w:val="22"/>
                <w:szCs w:val="22"/>
              </w:rPr>
              <w:t>Course Content</w:t>
            </w:r>
          </w:p>
        </w:tc>
        <w:tc>
          <w:tcPr>
            <w:tcW w:w="3947" w:type="dxa"/>
          </w:tcPr>
          <w:p w:rsidR="00D413D4" w:rsidRPr="00D413D4" w:rsidRDefault="00D413D4" w:rsidP="00633CE9">
            <w:pPr>
              <w:ind w:left="720"/>
              <w:rPr>
                <w:rFonts w:ascii="Arial" w:hAnsi="Arial" w:cs="Arial"/>
                <w:sz w:val="22"/>
                <w:szCs w:val="22"/>
              </w:rPr>
            </w:pPr>
            <w:r w:rsidRPr="00D413D4">
              <w:rPr>
                <w:rFonts w:ascii="Arial" w:hAnsi="Arial" w:cs="Arial"/>
                <w:sz w:val="22"/>
                <w:szCs w:val="22"/>
              </w:rPr>
              <w:t>The Welding Shop</w:t>
            </w:r>
          </w:p>
          <w:p w:rsidR="00D413D4" w:rsidRPr="00D413D4" w:rsidRDefault="00D413D4" w:rsidP="00633CE9">
            <w:pPr>
              <w:pStyle w:val="ListParagraph"/>
              <w:numPr>
                <w:ilvl w:val="0"/>
                <w:numId w:val="2"/>
              </w:numPr>
              <w:rPr>
                <w:rFonts w:ascii="Arial" w:hAnsi="Arial" w:cs="Arial"/>
                <w:sz w:val="22"/>
                <w:szCs w:val="22"/>
              </w:rPr>
            </w:pPr>
            <w:r w:rsidRPr="00D413D4">
              <w:rPr>
                <w:rFonts w:ascii="Arial" w:hAnsi="Arial" w:cs="Arial"/>
                <w:sz w:val="22"/>
                <w:szCs w:val="22"/>
              </w:rPr>
              <w:t xml:space="preserve">Safety </w:t>
            </w:r>
          </w:p>
          <w:p w:rsidR="00D413D4" w:rsidRPr="00D413D4" w:rsidRDefault="00D413D4" w:rsidP="00633CE9">
            <w:pPr>
              <w:pStyle w:val="ListParagraph"/>
              <w:numPr>
                <w:ilvl w:val="0"/>
                <w:numId w:val="2"/>
              </w:numPr>
              <w:rPr>
                <w:rFonts w:ascii="Arial" w:hAnsi="Arial" w:cs="Arial"/>
                <w:sz w:val="22"/>
                <w:szCs w:val="22"/>
              </w:rPr>
            </w:pPr>
            <w:r w:rsidRPr="00D413D4">
              <w:rPr>
                <w:rFonts w:ascii="Arial" w:hAnsi="Arial" w:cs="Arial"/>
                <w:sz w:val="22"/>
                <w:szCs w:val="22"/>
              </w:rPr>
              <w:t>Equipment Use</w:t>
            </w:r>
          </w:p>
          <w:p w:rsidR="00D413D4" w:rsidRPr="00D413D4" w:rsidRDefault="00D413D4" w:rsidP="00633CE9">
            <w:pPr>
              <w:pStyle w:val="ListParagraph"/>
              <w:numPr>
                <w:ilvl w:val="0"/>
                <w:numId w:val="2"/>
              </w:numPr>
              <w:rPr>
                <w:rFonts w:ascii="Arial" w:hAnsi="Arial" w:cs="Arial"/>
                <w:sz w:val="22"/>
                <w:szCs w:val="22"/>
              </w:rPr>
            </w:pPr>
            <w:r w:rsidRPr="00D413D4">
              <w:rPr>
                <w:rFonts w:ascii="Arial" w:hAnsi="Arial" w:cs="Arial"/>
                <w:sz w:val="22"/>
                <w:szCs w:val="22"/>
              </w:rPr>
              <w:t xml:space="preserve">Operation and Maintenance </w:t>
            </w:r>
          </w:p>
          <w:p w:rsidR="00D413D4" w:rsidRPr="00D413D4" w:rsidRDefault="00D413D4" w:rsidP="00633CE9">
            <w:pPr>
              <w:rPr>
                <w:sz w:val="22"/>
                <w:szCs w:val="22"/>
              </w:rPr>
            </w:pPr>
          </w:p>
        </w:tc>
        <w:tc>
          <w:tcPr>
            <w:tcW w:w="3853" w:type="dxa"/>
          </w:tcPr>
          <w:p w:rsidR="00D413D4" w:rsidRPr="00D413D4" w:rsidRDefault="00D413D4" w:rsidP="00633CE9">
            <w:pPr>
              <w:ind w:left="450"/>
              <w:rPr>
                <w:rFonts w:ascii="Arial" w:hAnsi="Arial" w:cs="Arial"/>
                <w:sz w:val="22"/>
                <w:szCs w:val="22"/>
              </w:rPr>
            </w:pPr>
            <w:r w:rsidRPr="00D413D4">
              <w:rPr>
                <w:rFonts w:ascii="Arial" w:hAnsi="Arial" w:cs="Arial"/>
                <w:sz w:val="22"/>
                <w:szCs w:val="22"/>
              </w:rPr>
              <w:t>The Welding Shop</w:t>
            </w:r>
          </w:p>
          <w:p w:rsidR="00D413D4" w:rsidRPr="00D413D4" w:rsidRDefault="00D413D4" w:rsidP="00633CE9">
            <w:pPr>
              <w:pStyle w:val="ListParagraph"/>
              <w:numPr>
                <w:ilvl w:val="0"/>
                <w:numId w:val="3"/>
              </w:numPr>
              <w:rPr>
                <w:rFonts w:ascii="Arial" w:hAnsi="Arial" w:cs="Arial"/>
                <w:sz w:val="22"/>
                <w:szCs w:val="22"/>
              </w:rPr>
            </w:pPr>
            <w:r w:rsidRPr="00D413D4">
              <w:rPr>
                <w:rFonts w:ascii="Arial" w:hAnsi="Arial" w:cs="Arial"/>
                <w:sz w:val="22"/>
                <w:szCs w:val="22"/>
              </w:rPr>
              <w:t xml:space="preserve">Safety </w:t>
            </w:r>
          </w:p>
          <w:p w:rsidR="00D413D4" w:rsidRPr="00D413D4" w:rsidRDefault="00D413D4" w:rsidP="00633CE9">
            <w:pPr>
              <w:pStyle w:val="ListParagraph"/>
              <w:numPr>
                <w:ilvl w:val="0"/>
                <w:numId w:val="3"/>
              </w:numPr>
              <w:rPr>
                <w:rFonts w:ascii="Arial" w:hAnsi="Arial" w:cs="Arial"/>
                <w:sz w:val="22"/>
                <w:szCs w:val="22"/>
              </w:rPr>
            </w:pPr>
            <w:r w:rsidRPr="00D413D4">
              <w:rPr>
                <w:rFonts w:ascii="Arial" w:hAnsi="Arial" w:cs="Arial"/>
                <w:sz w:val="22"/>
                <w:szCs w:val="22"/>
              </w:rPr>
              <w:t>Equipment Use</w:t>
            </w:r>
          </w:p>
          <w:p w:rsidR="00D413D4" w:rsidRPr="00D413D4" w:rsidRDefault="00D413D4" w:rsidP="00633CE9">
            <w:pPr>
              <w:pStyle w:val="ListParagraph"/>
              <w:numPr>
                <w:ilvl w:val="0"/>
                <w:numId w:val="3"/>
              </w:numPr>
              <w:rPr>
                <w:rFonts w:ascii="Arial" w:hAnsi="Arial" w:cs="Arial"/>
                <w:sz w:val="22"/>
                <w:szCs w:val="22"/>
              </w:rPr>
            </w:pPr>
            <w:r w:rsidRPr="00D413D4">
              <w:rPr>
                <w:rFonts w:ascii="Arial" w:hAnsi="Arial" w:cs="Arial"/>
                <w:sz w:val="22"/>
                <w:szCs w:val="22"/>
              </w:rPr>
              <w:t>Operation and Maintenance</w:t>
            </w:r>
          </w:p>
          <w:p w:rsidR="00D413D4" w:rsidRPr="00D413D4" w:rsidRDefault="00D413D4" w:rsidP="00633CE9">
            <w:pPr>
              <w:pStyle w:val="ListParagraph"/>
              <w:numPr>
                <w:ilvl w:val="0"/>
                <w:numId w:val="3"/>
              </w:numPr>
              <w:rPr>
                <w:rFonts w:ascii="Arial" w:hAnsi="Arial" w:cs="Arial"/>
                <w:sz w:val="22"/>
                <w:szCs w:val="22"/>
              </w:rPr>
            </w:pPr>
            <w:r w:rsidRPr="00D413D4">
              <w:rPr>
                <w:rFonts w:ascii="Arial" w:hAnsi="Arial" w:cs="Arial"/>
                <w:sz w:val="22"/>
                <w:szCs w:val="22"/>
              </w:rPr>
              <w:t xml:space="preserve">Professionalism in the    </w:t>
            </w:r>
          </w:p>
          <w:p w:rsidR="00D413D4" w:rsidRPr="00D413D4" w:rsidRDefault="00D413D4" w:rsidP="00633CE9">
            <w:pPr>
              <w:pStyle w:val="ListParagraph"/>
              <w:rPr>
                <w:rFonts w:ascii="Arial" w:hAnsi="Arial" w:cs="Arial"/>
                <w:sz w:val="22"/>
                <w:szCs w:val="22"/>
              </w:rPr>
            </w:pPr>
            <w:r w:rsidRPr="00D413D4">
              <w:rPr>
                <w:rFonts w:ascii="Arial" w:hAnsi="Arial" w:cs="Arial"/>
                <w:sz w:val="22"/>
                <w:szCs w:val="22"/>
              </w:rPr>
              <w:t xml:space="preserve">Workplace. </w:t>
            </w:r>
          </w:p>
          <w:p w:rsidR="00D413D4" w:rsidRPr="00D413D4" w:rsidRDefault="00D413D4" w:rsidP="00633CE9">
            <w:pPr>
              <w:rPr>
                <w:sz w:val="22"/>
                <w:szCs w:val="22"/>
              </w:rPr>
            </w:pPr>
          </w:p>
        </w:tc>
      </w:tr>
      <w:tr w:rsidR="00D413D4" w:rsidTr="00633CE9">
        <w:tc>
          <w:tcPr>
            <w:tcW w:w="1550" w:type="dxa"/>
          </w:tcPr>
          <w:p w:rsidR="00D413D4" w:rsidRPr="00D413D4" w:rsidRDefault="00D413D4" w:rsidP="00633CE9">
            <w:pPr>
              <w:rPr>
                <w:b/>
                <w:sz w:val="22"/>
                <w:szCs w:val="22"/>
              </w:rPr>
            </w:pPr>
            <w:r w:rsidRPr="00D413D4">
              <w:rPr>
                <w:b/>
                <w:sz w:val="22"/>
                <w:szCs w:val="22"/>
              </w:rPr>
              <w:t>Instructional Methods</w:t>
            </w:r>
          </w:p>
          <w:p w:rsidR="00D413D4" w:rsidRPr="00D413D4" w:rsidRDefault="00D413D4" w:rsidP="00633CE9">
            <w:pPr>
              <w:rPr>
                <w:b/>
                <w:sz w:val="22"/>
                <w:szCs w:val="22"/>
              </w:rPr>
            </w:pPr>
            <w:r w:rsidRPr="00D413D4">
              <w:rPr>
                <w:b/>
                <w:sz w:val="22"/>
                <w:szCs w:val="22"/>
              </w:rPr>
              <w:t>Other box</w:t>
            </w:r>
          </w:p>
        </w:tc>
        <w:tc>
          <w:tcPr>
            <w:tcW w:w="3947" w:type="dxa"/>
          </w:tcPr>
          <w:p w:rsidR="00D413D4" w:rsidRPr="00D413D4" w:rsidRDefault="00D413D4" w:rsidP="00633CE9">
            <w:pPr>
              <w:rPr>
                <w:sz w:val="22"/>
                <w:szCs w:val="22"/>
              </w:rPr>
            </w:pPr>
          </w:p>
        </w:tc>
        <w:tc>
          <w:tcPr>
            <w:tcW w:w="3853" w:type="dxa"/>
          </w:tcPr>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Students practice their welding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and receive critique and feedback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regarding their work and progress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throughout the semester.  We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look for the positive aspects of the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students’ welding work and then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we identify the areas that need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improvement.  Strategies are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created with the student to </w:t>
            </w:r>
          </w:p>
          <w:p w:rsidR="00D413D4" w:rsidRPr="00D413D4" w:rsidRDefault="00D413D4" w:rsidP="00633CE9">
            <w:pPr>
              <w:ind w:left="720" w:hanging="720"/>
              <w:rPr>
                <w:rFonts w:ascii="Arial" w:hAnsi="Arial" w:cs="Arial"/>
                <w:sz w:val="22"/>
                <w:szCs w:val="22"/>
              </w:rPr>
            </w:pPr>
            <w:r w:rsidRPr="00D413D4">
              <w:rPr>
                <w:rFonts w:ascii="Arial" w:hAnsi="Arial" w:cs="Arial"/>
                <w:sz w:val="22"/>
                <w:szCs w:val="22"/>
              </w:rPr>
              <w:t xml:space="preserve">improve the students welding </w:t>
            </w:r>
          </w:p>
          <w:p w:rsidR="00D413D4" w:rsidRPr="00D413D4" w:rsidRDefault="00D413D4" w:rsidP="00633CE9">
            <w:pPr>
              <w:ind w:left="720" w:hanging="720"/>
              <w:rPr>
                <w:rFonts w:ascii="Arial" w:hAnsi="Arial" w:cs="Arial"/>
                <w:i/>
                <w:sz w:val="22"/>
                <w:szCs w:val="22"/>
              </w:rPr>
            </w:pPr>
            <w:r w:rsidRPr="00D413D4">
              <w:rPr>
                <w:rFonts w:ascii="Arial" w:hAnsi="Arial" w:cs="Arial"/>
                <w:sz w:val="22"/>
                <w:szCs w:val="22"/>
              </w:rPr>
              <w:t>performance.</w:t>
            </w:r>
          </w:p>
          <w:p w:rsidR="00D413D4" w:rsidRPr="00D413D4" w:rsidRDefault="00D413D4" w:rsidP="00633CE9">
            <w:pPr>
              <w:rPr>
                <w:sz w:val="22"/>
                <w:szCs w:val="22"/>
              </w:rPr>
            </w:pPr>
          </w:p>
        </w:tc>
      </w:tr>
    </w:tbl>
    <w:p w:rsidR="00633CE9" w:rsidRDefault="00633CE9" w:rsidP="00633CE9">
      <w:pPr>
        <w:jc w:val="center"/>
        <w:rPr>
          <w:b/>
          <w:sz w:val="24"/>
          <w:szCs w:val="24"/>
        </w:rPr>
      </w:pPr>
    </w:p>
    <w:p w:rsidR="00633CE9" w:rsidRDefault="00633CE9" w:rsidP="00633CE9">
      <w:pPr>
        <w:jc w:val="center"/>
        <w:rPr>
          <w:b/>
          <w:sz w:val="24"/>
          <w:szCs w:val="24"/>
        </w:rPr>
      </w:pPr>
      <w:proofErr w:type="spellStart"/>
      <w:r w:rsidRPr="00D413D4">
        <w:rPr>
          <w:b/>
          <w:sz w:val="24"/>
          <w:szCs w:val="24"/>
        </w:rPr>
        <w:t>Ethnorelative</w:t>
      </w:r>
      <w:proofErr w:type="spellEnd"/>
      <w:r w:rsidRPr="00D413D4">
        <w:rPr>
          <w:b/>
          <w:sz w:val="24"/>
          <w:szCs w:val="24"/>
        </w:rPr>
        <w:t xml:space="preserve"> and Culturally Inclusive COOR Update</w:t>
      </w:r>
      <w:r>
        <w:rPr>
          <w:b/>
          <w:sz w:val="24"/>
          <w:szCs w:val="24"/>
        </w:rPr>
        <w:t xml:space="preserve"> </w:t>
      </w:r>
    </w:p>
    <w:p w:rsidR="00633CE9" w:rsidRPr="00D413D4" w:rsidRDefault="00633CE9" w:rsidP="00633CE9">
      <w:pPr>
        <w:jc w:val="center"/>
        <w:rPr>
          <w:b/>
          <w:sz w:val="24"/>
          <w:szCs w:val="24"/>
        </w:rPr>
      </w:pPr>
      <w:r>
        <w:rPr>
          <w:b/>
          <w:sz w:val="24"/>
          <w:szCs w:val="24"/>
        </w:rPr>
        <w:t>October 2018</w:t>
      </w:r>
    </w:p>
    <w:p w:rsidR="00595EC5" w:rsidRPr="00D413D4" w:rsidRDefault="00F1542B" w:rsidP="00D413D4">
      <w:pPr>
        <w:jc w:val="center"/>
        <w:rPr>
          <w:b/>
          <w:sz w:val="24"/>
          <w:szCs w:val="24"/>
        </w:rPr>
      </w:pPr>
    </w:p>
    <w:sectPr w:rsidR="00595EC5" w:rsidRPr="00D41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6DE6"/>
    <w:multiLevelType w:val="hybridMultilevel"/>
    <w:tmpl w:val="CC986C44"/>
    <w:lvl w:ilvl="0" w:tplc="C52001D8">
      <w:start w:val="1"/>
      <w:numFmt w:val="decimal"/>
      <w:lvlText w:val="%1."/>
      <w:lvlJc w:val="left"/>
      <w:pPr>
        <w:ind w:left="810" w:hanging="360"/>
      </w:pPr>
      <w:rPr>
        <w:rFonts w:ascii="Arial" w:eastAsia="Times New Roman" w:hAnsi="Arial" w:cs="Arial"/>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D296879"/>
    <w:multiLevelType w:val="hybridMultilevel"/>
    <w:tmpl w:val="801E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AE14B9"/>
    <w:multiLevelType w:val="hybridMultilevel"/>
    <w:tmpl w:val="3F4CD9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D4"/>
    <w:rsid w:val="003263B2"/>
    <w:rsid w:val="00633CE9"/>
    <w:rsid w:val="00857F88"/>
    <w:rsid w:val="00D413D4"/>
    <w:rsid w:val="00F15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3E2AB-F488-4FAE-ABDE-2F3910E6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3D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Townsend</dc:creator>
  <cp:keywords/>
  <dc:description/>
  <cp:lastModifiedBy>Duldulao, Abigail</cp:lastModifiedBy>
  <cp:revision>2</cp:revision>
  <dcterms:created xsi:type="dcterms:W3CDTF">2020-09-08T18:13:00Z</dcterms:created>
  <dcterms:modified xsi:type="dcterms:W3CDTF">2020-09-08T18:13:00Z</dcterms:modified>
</cp:coreProperties>
</file>