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49002" w14:textId="06C46482" w:rsidR="00595EC5" w:rsidRPr="002B197C" w:rsidRDefault="00A70AB9" w:rsidP="00813622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2B197C">
        <w:rPr>
          <w:rFonts w:ascii="Comic Sans MS" w:hAnsi="Comic Sans MS"/>
          <w:b/>
          <w:sz w:val="32"/>
          <w:szCs w:val="32"/>
        </w:rPr>
        <w:t>Student Centered Course Outline of Record Tool</w:t>
      </w:r>
    </w:p>
    <w:p w14:paraId="375076A4" w14:textId="3099E020" w:rsidR="00610412" w:rsidRPr="00614B8C" w:rsidRDefault="00610412" w:rsidP="00813622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 w:rsidRPr="00614B8C">
        <w:rPr>
          <w:rFonts w:ascii="Comic Sans MS" w:hAnsi="Comic Sans MS"/>
          <w:b/>
          <w:sz w:val="28"/>
          <w:szCs w:val="28"/>
        </w:rPr>
        <w:t>Ethnorelative</w:t>
      </w:r>
      <w:proofErr w:type="spellEnd"/>
      <w:r w:rsidR="0075321E" w:rsidRPr="00614B8C">
        <w:rPr>
          <w:rFonts w:ascii="Comic Sans MS" w:hAnsi="Comic Sans MS"/>
          <w:b/>
          <w:sz w:val="28"/>
          <w:szCs w:val="28"/>
        </w:rPr>
        <w:t>*</w:t>
      </w:r>
      <w:r w:rsidRPr="00614B8C">
        <w:rPr>
          <w:rFonts w:ascii="Comic Sans MS" w:hAnsi="Comic Sans MS"/>
          <w:b/>
          <w:sz w:val="28"/>
          <w:szCs w:val="28"/>
        </w:rPr>
        <w:t xml:space="preserve"> and Culturally Inclusive Practices</w:t>
      </w:r>
    </w:p>
    <w:p w14:paraId="1B857332" w14:textId="62418627" w:rsidR="00A70AB9" w:rsidRPr="00614B8C" w:rsidRDefault="00A70AB9" w:rsidP="00813622">
      <w:pPr>
        <w:rPr>
          <w:rFonts w:ascii="Comic Sans MS" w:hAnsi="Comic Sans MS"/>
          <w:sz w:val="24"/>
          <w:szCs w:val="24"/>
        </w:rPr>
      </w:pPr>
      <w:r w:rsidRPr="00614B8C">
        <w:rPr>
          <w:rFonts w:ascii="Comic Sans MS" w:hAnsi="Comic Sans MS"/>
          <w:sz w:val="24"/>
          <w:szCs w:val="24"/>
        </w:rPr>
        <w:t>This tool is to help us think about how we can center our students within the course outline of record.</w:t>
      </w:r>
    </w:p>
    <w:p w14:paraId="69A1102A" w14:textId="63AAEE1C" w:rsidR="00A70AB9" w:rsidRPr="00614B8C" w:rsidRDefault="00A70AB9" w:rsidP="00A70AB9">
      <w:pPr>
        <w:rPr>
          <w:rFonts w:ascii="Comic Sans MS" w:hAnsi="Comic Sans MS"/>
          <w:sz w:val="24"/>
          <w:szCs w:val="24"/>
        </w:rPr>
      </w:pPr>
      <w:r w:rsidRPr="00614B8C">
        <w:rPr>
          <w:rFonts w:ascii="Comic Sans MS" w:hAnsi="Comic Sans MS"/>
          <w:sz w:val="24"/>
          <w:szCs w:val="24"/>
        </w:rPr>
        <w:t>Course_________________________________________</w:t>
      </w:r>
      <w:r w:rsidR="00813622" w:rsidRPr="00614B8C">
        <w:rPr>
          <w:rFonts w:ascii="Comic Sans MS" w:hAnsi="Comic Sans MS"/>
          <w:sz w:val="24"/>
          <w:szCs w:val="24"/>
        </w:rPr>
        <w:t>___</w:t>
      </w:r>
      <w:r w:rsidR="00614B8C">
        <w:rPr>
          <w:rFonts w:ascii="Comic Sans MS" w:hAnsi="Comic Sans MS"/>
          <w:sz w:val="24"/>
          <w:szCs w:val="24"/>
        </w:rPr>
        <w:t>_________</w:t>
      </w:r>
      <w:r w:rsidR="00813622" w:rsidRPr="00614B8C">
        <w:rPr>
          <w:rFonts w:ascii="Comic Sans MS" w:hAnsi="Comic Sans MS"/>
          <w:sz w:val="24"/>
          <w:szCs w:val="24"/>
        </w:rPr>
        <w:t>__</w:t>
      </w:r>
      <w:r w:rsidR="00614B8C">
        <w:rPr>
          <w:rFonts w:ascii="Comic Sans MS" w:hAnsi="Comic Sans MS"/>
          <w:sz w:val="24"/>
          <w:szCs w:val="24"/>
        </w:rPr>
        <w:t>_______</w:t>
      </w:r>
    </w:p>
    <w:p w14:paraId="62F614A4" w14:textId="2F7DA155" w:rsidR="00A70AB9" w:rsidRPr="00614B8C" w:rsidRDefault="00A70AB9" w:rsidP="00A70AB9">
      <w:pPr>
        <w:rPr>
          <w:rFonts w:ascii="Comic Sans MS" w:hAnsi="Comic Sans MS"/>
          <w:sz w:val="24"/>
          <w:szCs w:val="24"/>
        </w:rPr>
      </w:pPr>
      <w:r w:rsidRPr="00614B8C">
        <w:rPr>
          <w:rFonts w:ascii="Comic Sans MS" w:hAnsi="Comic Sans MS"/>
          <w:sz w:val="24"/>
          <w:szCs w:val="24"/>
        </w:rPr>
        <w:t>Author(s) _____________________________________________</w:t>
      </w:r>
      <w:r w:rsidR="00813622" w:rsidRPr="00614B8C">
        <w:rPr>
          <w:rFonts w:ascii="Comic Sans MS" w:hAnsi="Comic Sans MS"/>
          <w:sz w:val="24"/>
          <w:szCs w:val="24"/>
        </w:rPr>
        <w:t>_____</w:t>
      </w:r>
      <w:r w:rsidR="00614B8C">
        <w:rPr>
          <w:rFonts w:ascii="Comic Sans MS" w:hAnsi="Comic Sans MS"/>
          <w:sz w:val="24"/>
          <w:szCs w:val="24"/>
        </w:rPr>
        <w:t>__________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145"/>
        <w:gridCol w:w="7200"/>
      </w:tblGrid>
      <w:tr w:rsidR="00A70AB9" w:rsidRPr="00614B8C" w14:paraId="4EE0A574" w14:textId="77777777" w:rsidTr="00813622">
        <w:tc>
          <w:tcPr>
            <w:tcW w:w="3145" w:type="dxa"/>
          </w:tcPr>
          <w:p w14:paraId="1CA5F241" w14:textId="77777777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Course Title</w:t>
            </w:r>
          </w:p>
          <w:p w14:paraId="53589679" w14:textId="1ADF333B" w:rsidR="0075321E" w:rsidRPr="00614B8C" w:rsidRDefault="0075321E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One or the other</w:t>
            </w:r>
          </w:p>
        </w:tc>
        <w:tc>
          <w:tcPr>
            <w:tcW w:w="7200" w:type="dxa"/>
          </w:tcPr>
          <w:p w14:paraId="08917275" w14:textId="01556DFF" w:rsidR="00A70AB9" w:rsidRPr="00614B8C" w:rsidRDefault="00A02421" w:rsidP="00A0242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How does the title </w:t>
            </w:r>
            <w:r w:rsidR="00A70AB9" w:rsidRPr="00614B8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include or engage</w:t>
            </w:r>
            <w:r w:rsidR="00A70AB9" w:rsidRPr="00614B8C">
              <w:rPr>
                <w:rFonts w:ascii="Comic Sans MS" w:hAnsi="Comic Sans MS"/>
                <w:sz w:val="24"/>
                <w:szCs w:val="24"/>
              </w:rPr>
              <w:t xml:space="preserve"> a more diverse student population?</w:t>
            </w:r>
            <w:r w:rsidR="0075321E" w:rsidRPr="00614B8C">
              <w:rPr>
                <w:rFonts w:ascii="Comic Sans MS" w:hAnsi="Comic Sans MS"/>
                <w:sz w:val="24"/>
                <w:szCs w:val="24"/>
              </w:rPr>
              <w:t xml:space="preserve">  Is it possible to frame the title to clearly share how this course is </w:t>
            </w:r>
            <w:proofErr w:type="spellStart"/>
            <w:r w:rsidR="0075321E" w:rsidRPr="00614B8C">
              <w:rPr>
                <w:rFonts w:ascii="Comic Sans MS" w:hAnsi="Comic Sans MS"/>
                <w:sz w:val="24"/>
                <w:szCs w:val="24"/>
              </w:rPr>
              <w:t>ethnorealativie</w:t>
            </w:r>
            <w:proofErr w:type="spellEnd"/>
            <w:r w:rsidR="0075321E" w:rsidRPr="00614B8C"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</w:tr>
      <w:tr w:rsidR="00A70AB9" w:rsidRPr="00614B8C" w14:paraId="5D076015" w14:textId="77777777" w:rsidTr="00813622">
        <w:tc>
          <w:tcPr>
            <w:tcW w:w="3145" w:type="dxa"/>
          </w:tcPr>
          <w:p w14:paraId="1B3840C3" w14:textId="77777777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Course Description</w:t>
            </w:r>
          </w:p>
        </w:tc>
        <w:tc>
          <w:tcPr>
            <w:tcW w:w="7200" w:type="dxa"/>
          </w:tcPr>
          <w:p w14:paraId="581948B6" w14:textId="18CFFEEC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Does the Catalog Description provide a wide spectrum of perspective</w:t>
            </w:r>
            <w:r w:rsidR="0075321E" w:rsidRPr="00614B8C">
              <w:rPr>
                <w:rFonts w:ascii="Comic Sans MS" w:hAnsi="Comic Sans MS"/>
                <w:sz w:val="24"/>
                <w:szCs w:val="24"/>
              </w:rPr>
              <w:t>s</w:t>
            </w:r>
            <w:r w:rsidRPr="00614B8C">
              <w:rPr>
                <w:rFonts w:ascii="Comic Sans MS" w:hAnsi="Comic Sans MS"/>
                <w:sz w:val="24"/>
                <w:szCs w:val="24"/>
              </w:rPr>
              <w:t xml:space="preserve"> and represent a variety of voices?</w:t>
            </w:r>
          </w:p>
        </w:tc>
      </w:tr>
      <w:tr w:rsidR="00A70AB9" w:rsidRPr="00614B8C" w14:paraId="4874ECC0" w14:textId="77777777" w:rsidTr="00813622">
        <w:tc>
          <w:tcPr>
            <w:tcW w:w="3145" w:type="dxa"/>
          </w:tcPr>
          <w:p w14:paraId="39285C20" w14:textId="77777777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Schedule Description</w:t>
            </w:r>
          </w:p>
          <w:p w14:paraId="7EFDEA08" w14:textId="1600343C" w:rsidR="0075321E" w:rsidRPr="00614B8C" w:rsidRDefault="0075321E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Decide which</w:t>
            </w:r>
          </w:p>
        </w:tc>
        <w:tc>
          <w:tcPr>
            <w:tcW w:w="7200" w:type="dxa"/>
          </w:tcPr>
          <w:p w14:paraId="6E081E07" w14:textId="7AC0EDC0" w:rsidR="00A70AB9" w:rsidRPr="00614B8C" w:rsidRDefault="00A70AB9" w:rsidP="00A02421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How does the schedule description offer a</w:t>
            </w:r>
            <w:r w:rsidR="0075321E" w:rsidRPr="00614B8C">
              <w:rPr>
                <w:rFonts w:ascii="Comic Sans MS" w:hAnsi="Comic Sans MS"/>
                <w:sz w:val="24"/>
                <w:szCs w:val="24"/>
              </w:rPr>
              <w:t>n inclusive and welcoming</w:t>
            </w:r>
            <w:r w:rsidRPr="00614B8C">
              <w:rPr>
                <w:rFonts w:ascii="Comic Sans MS" w:hAnsi="Comic Sans MS"/>
                <w:sz w:val="24"/>
                <w:szCs w:val="24"/>
              </w:rPr>
              <w:t xml:space="preserve"> invitation to a diverse student population</w:t>
            </w:r>
            <w:r w:rsidR="00A02421"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</w:tr>
      <w:tr w:rsidR="00A70AB9" w:rsidRPr="00614B8C" w14:paraId="0BF58B01" w14:textId="77777777" w:rsidTr="00813622">
        <w:tc>
          <w:tcPr>
            <w:tcW w:w="3145" w:type="dxa"/>
          </w:tcPr>
          <w:p w14:paraId="48AB657B" w14:textId="77777777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CSLOs</w:t>
            </w:r>
          </w:p>
        </w:tc>
        <w:tc>
          <w:tcPr>
            <w:tcW w:w="7200" w:type="dxa"/>
          </w:tcPr>
          <w:p w14:paraId="7260F074" w14:textId="1931E2F4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How are your CSLOs student centered?  If they are not, what would a student centered CSLO look like?</w:t>
            </w:r>
          </w:p>
        </w:tc>
      </w:tr>
      <w:tr w:rsidR="00A70AB9" w:rsidRPr="00614B8C" w14:paraId="55E58D56" w14:textId="77777777" w:rsidTr="00813622">
        <w:tc>
          <w:tcPr>
            <w:tcW w:w="3145" w:type="dxa"/>
          </w:tcPr>
          <w:p w14:paraId="65E25863" w14:textId="77777777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Assessments</w:t>
            </w:r>
          </w:p>
        </w:tc>
        <w:tc>
          <w:tcPr>
            <w:tcW w:w="7200" w:type="dxa"/>
          </w:tcPr>
          <w:p w14:paraId="3765C28E" w14:textId="6C1CA82D" w:rsidR="00A70AB9" w:rsidRPr="00614B8C" w:rsidRDefault="0075321E" w:rsidP="0075321E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How equitable are your assessments?  Do you include innovative, non-traditional assessment methods that incorporate multiple modalities of learning styles?</w:t>
            </w:r>
          </w:p>
        </w:tc>
      </w:tr>
      <w:tr w:rsidR="00A70AB9" w:rsidRPr="00614B8C" w14:paraId="2FE2869C" w14:textId="77777777" w:rsidTr="00813622">
        <w:tc>
          <w:tcPr>
            <w:tcW w:w="3145" w:type="dxa"/>
          </w:tcPr>
          <w:p w14:paraId="626C0E95" w14:textId="77777777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Method of Evaluation and Grading</w:t>
            </w:r>
          </w:p>
        </w:tc>
        <w:tc>
          <w:tcPr>
            <w:tcW w:w="7200" w:type="dxa"/>
          </w:tcPr>
          <w:p w14:paraId="66784B02" w14:textId="77777777" w:rsidR="00A70AB9" w:rsidRPr="00614B8C" w:rsidRDefault="00813622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Are there multiple opportunities or cycles for students to demonstrate their cumulative understanding of the student learning outcomes?</w:t>
            </w:r>
          </w:p>
        </w:tc>
      </w:tr>
      <w:tr w:rsidR="00A70AB9" w:rsidRPr="00614B8C" w14:paraId="55EBA8DA" w14:textId="77777777" w:rsidTr="00813622">
        <w:tc>
          <w:tcPr>
            <w:tcW w:w="3145" w:type="dxa"/>
          </w:tcPr>
          <w:p w14:paraId="2052E451" w14:textId="77777777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Course Content</w:t>
            </w:r>
          </w:p>
        </w:tc>
        <w:tc>
          <w:tcPr>
            <w:tcW w:w="7200" w:type="dxa"/>
          </w:tcPr>
          <w:p w14:paraId="270DC281" w14:textId="3E5299F6" w:rsidR="00A70AB9" w:rsidRPr="00614B8C" w:rsidRDefault="0075321E" w:rsidP="0075321E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 xml:space="preserve">How does your course content help create </w:t>
            </w:r>
            <w:proofErr w:type="spellStart"/>
            <w:r w:rsidRPr="00614B8C">
              <w:rPr>
                <w:rFonts w:ascii="Comic Sans MS" w:hAnsi="Comic Sans MS"/>
                <w:sz w:val="24"/>
                <w:szCs w:val="24"/>
              </w:rPr>
              <w:t>ethnorelative</w:t>
            </w:r>
            <w:proofErr w:type="spellEnd"/>
            <w:r w:rsidRPr="00614B8C">
              <w:rPr>
                <w:rFonts w:ascii="Comic Sans MS" w:hAnsi="Comic Sans MS"/>
                <w:sz w:val="24"/>
                <w:szCs w:val="24"/>
              </w:rPr>
              <w:t xml:space="preserve"> knowledge?  Are there any student groups whose perspectives are not reflected in the course?  If so</w:t>
            </w:r>
            <w:r w:rsidR="00A70AB9" w:rsidRPr="00614B8C">
              <w:rPr>
                <w:rFonts w:ascii="Comic Sans MS" w:hAnsi="Comic Sans MS"/>
                <w:sz w:val="24"/>
                <w:szCs w:val="24"/>
              </w:rPr>
              <w:t>, what are some ways you might integrate a more diverse stude</w:t>
            </w:r>
            <w:r w:rsidRPr="00614B8C">
              <w:rPr>
                <w:rFonts w:ascii="Comic Sans MS" w:hAnsi="Comic Sans MS"/>
                <w:sz w:val="24"/>
                <w:szCs w:val="24"/>
              </w:rPr>
              <w:t>nt perspective?</w:t>
            </w:r>
          </w:p>
        </w:tc>
      </w:tr>
      <w:tr w:rsidR="00A70AB9" w:rsidRPr="00614B8C" w14:paraId="2288C786" w14:textId="77777777" w:rsidTr="00813622">
        <w:tc>
          <w:tcPr>
            <w:tcW w:w="3145" w:type="dxa"/>
          </w:tcPr>
          <w:p w14:paraId="4CB992CE" w14:textId="77777777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lastRenderedPageBreak/>
              <w:t>Instructional Methodology</w:t>
            </w:r>
          </w:p>
        </w:tc>
        <w:tc>
          <w:tcPr>
            <w:tcW w:w="7200" w:type="dxa"/>
          </w:tcPr>
          <w:p w14:paraId="0641B9FD" w14:textId="77777777" w:rsidR="00A70AB9" w:rsidRPr="00614B8C" w:rsidRDefault="00813622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How do you partner with student in the course to support their success?</w:t>
            </w:r>
          </w:p>
        </w:tc>
      </w:tr>
      <w:tr w:rsidR="00A70AB9" w:rsidRPr="00614B8C" w14:paraId="14964223" w14:textId="77777777" w:rsidTr="00813622">
        <w:tc>
          <w:tcPr>
            <w:tcW w:w="3145" w:type="dxa"/>
          </w:tcPr>
          <w:p w14:paraId="745B2463" w14:textId="77777777" w:rsidR="00A70AB9" w:rsidRPr="00614B8C" w:rsidRDefault="00A70AB9" w:rsidP="00A70AB9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>Textbooks</w:t>
            </w:r>
          </w:p>
        </w:tc>
        <w:tc>
          <w:tcPr>
            <w:tcW w:w="7200" w:type="dxa"/>
          </w:tcPr>
          <w:p w14:paraId="678FD975" w14:textId="3AAE4611" w:rsidR="00A70AB9" w:rsidRPr="00614B8C" w:rsidRDefault="00A70AB9" w:rsidP="0075321E">
            <w:pPr>
              <w:rPr>
                <w:rFonts w:ascii="Comic Sans MS" w:hAnsi="Comic Sans MS"/>
                <w:sz w:val="24"/>
                <w:szCs w:val="24"/>
              </w:rPr>
            </w:pPr>
            <w:r w:rsidRPr="00614B8C">
              <w:rPr>
                <w:rFonts w:ascii="Comic Sans MS" w:hAnsi="Comic Sans MS"/>
                <w:sz w:val="24"/>
                <w:szCs w:val="24"/>
              </w:rPr>
              <w:t xml:space="preserve">Are you using </w:t>
            </w:r>
            <w:r w:rsidR="0075321E" w:rsidRPr="00614B8C">
              <w:rPr>
                <w:rFonts w:ascii="Comic Sans MS" w:hAnsi="Comic Sans MS"/>
                <w:sz w:val="24"/>
                <w:szCs w:val="24"/>
              </w:rPr>
              <w:t xml:space="preserve">a textbook that offers an </w:t>
            </w:r>
            <w:proofErr w:type="spellStart"/>
            <w:r w:rsidR="0075321E" w:rsidRPr="00614B8C">
              <w:rPr>
                <w:rFonts w:ascii="Comic Sans MS" w:hAnsi="Comic Sans MS"/>
                <w:sz w:val="24"/>
                <w:szCs w:val="24"/>
              </w:rPr>
              <w:t>ethnorelative</w:t>
            </w:r>
            <w:proofErr w:type="spellEnd"/>
            <w:r w:rsidR="0075321E" w:rsidRPr="00614B8C">
              <w:rPr>
                <w:rFonts w:ascii="Comic Sans MS" w:hAnsi="Comic Sans MS"/>
                <w:sz w:val="24"/>
                <w:szCs w:val="24"/>
              </w:rPr>
              <w:t xml:space="preserve"> view?  If not, how are you supplementing the material?</w:t>
            </w:r>
          </w:p>
        </w:tc>
      </w:tr>
    </w:tbl>
    <w:p w14:paraId="0047126C" w14:textId="77777777" w:rsidR="00614B8C" w:rsidRPr="00614B8C" w:rsidRDefault="00614B8C" w:rsidP="00614B8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222222"/>
          <w:sz w:val="24"/>
          <w:szCs w:val="24"/>
        </w:rPr>
      </w:pPr>
      <w:r w:rsidRPr="00614B8C">
        <w:rPr>
          <w:rFonts w:ascii="Comic Sans MS" w:hAnsi="Comic Sans MS"/>
          <w:b/>
          <w:sz w:val="24"/>
          <w:szCs w:val="24"/>
        </w:rPr>
        <w:t>*</w:t>
      </w:r>
      <w:proofErr w:type="spellStart"/>
      <w:r w:rsidR="0075321E" w:rsidRPr="00614B8C">
        <w:rPr>
          <w:rFonts w:ascii="Comic Sans MS" w:hAnsi="Comic Sans MS"/>
          <w:b/>
          <w:sz w:val="24"/>
          <w:szCs w:val="24"/>
        </w:rPr>
        <w:t>Ethnorelativism</w:t>
      </w:r>
      <w:proofErr w:type="spellEnd"/>
      <w:r w:rsidR="0075321E" w:rsidRPr="00614B8C">
        <w:rPr>
          <w:rFonts w:ascii="Comic Sans MS" w:hAnsi="Comic Sans MS"/>
          <w:sz w:val="24"/>
          <w:szCs w:val="24"/>
        </w:rPr>
        <w:t xml:space="preserve">- </w:t>
      </w:r>
      <w:r w:rsidR="0075321E" w:rsidRPr="00614B8C">
        <w:rPr>
          <w:rFonts w:ascii="Comic Sans MS" w:eastAsia="Times New Roman" w:hAnsi="Comic Sans MS" w:cs="Helvetica"/>
          <w:color w:val="222222"/>
          <w:sz w:val="24"/>
          <w:szCs w:val="24"/>
        </w:rPr>
        <w:t xml:space="preserve">An acquired ability to see many values and behaviors as cultural rather </w:t>
      </w:r>
      <w:r w:rsidRPr="00614B8C">
        <w:rPr>
          <w:rFonts w:ascii="Comic Sans MS" w:eastAsia="Times New Roman" w:hAnsi="Comic Sans MS" w:cs="Helvetica"/>
          <w:color w:val="222222"/>
          <w:sz w:val="24"/>
          <w:szCs w:val="24"/>
        </w:rPr>
        <w:t xml:space="preserve">  </w:t>
      </w:r>
    </w:p>
    <w:p w14:paraId="37314511" w14:textId="59C290E3" w:rsidR="0075321E" w:rsidRPr="00614B8C" w:rsidRDefault="00614B8C" w:rsidP="00614B8C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222222"/>
          <w:sz w:val="24"/>
          <w:szCs w:val="24"/>
        </w:rPr>
      </w:pPr>
      <w:r w:rsidRPr="00614B8C">
        <w:rPr>
          <w:rFonts w:ascii="Comic Sans MS" w:hAnsi="Comic Sans MS"/>
          <w:b/>
          <w:sz w:val="24"/>
          <w:szCs w:val="24"/>
        </w:rPr>
        <w:t xml:space="preserve"> </w:t>
      </w:r>
      <w:r w:rsidR="0075321E" w:rsidRPr="00614B8C">
        <w:rPr>
          <w:rFonts w:ascii="Comic Sans MS" w:eastAsia="Times New Roman" w:hAnsi="Comic Sans MS" w:cs="Helvetica"/>
          <w:color w:val="222222"/>
          <w:sz w:val="24"/>
          <w:szCs w:val="24"/>
        </w:rPr>
        <w:t>than universal</w:t>
      </w:r>
    </w:p>
    <w:p w14:paraId="39CBB0DC" w14:textId="05D1F604" w:rsidR="00614B8C" w:rsidRDefault="00614B8C" w:rsidP="00614B8C">
      <w:pPr>
        <w:shd w:val="clear" w:color="auto" w:fill="FFFFFF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</w:t>
      </w:r>
      <w:proofErr w:type="spellStart"/>
      <w:r w:rsidRPr="00614B8C">
        <w:rPr>
          <w:rFonts w:ascii="Comic Sans MS" w:hAnsi="Comic Sans MS"/>
          <w:b/>
          <w:sz w:val="24"/>
          <w:szCs w:val="24"/>
        </w:rPr>
        <w:t>Ethnorelative</w:t>
      </w:r>
      <w:proofErr w:type="spellEnd"/>
      <w:r w:rsidRPr="00614B8C">
        <w:rPr>
          <w:rFonts w:ascii="Comic Sans MS" w:hAnsi="Comic Sans MS"/>
          <w:b/>
          <w:i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P</w:t>
      </w:r>
      <w:r w:rsidRPr="00614B8C">
        <w:rPr>
          <w:rFonts w:ascii="Comic Sans MS" w:hAnsi="Comic Sans MS"/>
          <w:sz w:val="24"/>
          <w:szCs w:val="24"/>
        </w:rPr>
        <w:t xml:space="preserve">erspective where one’s own culture is understood in the context of 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43C4E4C2" w14:textId="5A5BBFE1" w:rsidR="00614B8C" w:rsidRDefault="00614B8C" w:rsidP="00614B8C">
      <w:pPr>
        <w:shd w:val="clear" w:color="auto" w:fill="FFFFFF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614B8C">
        <w:rPr>
          <w:rFonts w:ascii="Comic Sans MS" w:hAnsi="Comic Sans MS"/>
          <w:sz w:val="24"/>
          <w:szCs w:val="24"/>
        </w:rPr>
        <w:t>others.</w:t>
      </w:r>
    </w:p>
    <w:p w14:paraId="24BF3FB4" w14:textId="77777777" w:rsidR="001972AA" w:rsidRDefault="001972AA" w:rsidP="00614B8C">
      <w:pPr>
        <w:shd w:val="clear" w:color="auto" w:fill="FFFFFF"/>
        <w:spacing w:after="0" w:line="240" w:lineRule="auto"/>
        <w:rPr>
          <w:rFonts w:ascii="Comic Sans MS" w:hAnsi="Comic Sans MS"/>
          <w:sz w:val="24"/>
          <w:szCs w:val="24"/>
        </w:rPr>
      </w:pPr>
    </w:p>
    <w:p w14:paraId="70E58938" w14:textId="7388B479" w:rsidR="00813622" w:rsidRPr="00614B8C" w:rsidRDefault="00813622" w:rsidP="001972AA">
      <w:pPr>
        <w:shd w:val="clear" w:color="auto" w:fill="FFFFFF"/>
        <w:spacing w:after="0" w:line="240" w:lineRule="auto"/>
        <w:rPr>
          <w:rFonts w:ascii="Comic Sans MS" w:hAnsi="Comic Sans MS"/>
          <w:sz w:val="24"/>
          <w:szCs w:val="24"/>
        </w:rPr>
      </w:pPr>
      <w:r w:rsidRPr="00614B8C">
        <w:rPr>
          <w:rFonts w:ascii="Comic Sans MS" w:hAnsi="Comic Sans MS"/>
          <w:sz w:val="24"/>
          <w:szCs w:val="24"/>
        </w:rPr>
        <w:t>After using this tool what changes are you considering making with how you teach this course?</w:t>
      </w:r>
    </w:p>
    <w:sectPr w:rsidR="00813622" w:rsidRPr="00614B8C" w:rsidSect="00614B8C">
      <w:headerReference w:type="default" r:id="rId8"/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34362" w14:textId="77777777" w:rsidR="007C12AF" w:rsidRDefault="007C12AF" w:rsidP="00EF6718">
      <w:pPr>
        <w:spacing w:after="0" w:line="240" w:lineRule="auto"/>
      </w:pPr>
      <w:r>
        <w:separator/>
      </w:r>
    </w:p>
  </w:endnote>
  <w:endnote w:type="continuationSeparator" w:id="0">
    <w:p w14:paraId="20D45DD3" w14:textId="77777777" w:rsidR="007C12AF" w:rsidRDefault="007C12AF" w:rsidP="00EF6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70137" w14:textId="77777777" w:rsidR="007C12AF" w:rsidRDefault="007C12AF" w:rsidP="00EF6718">
      <w:pPr>
        <w:spacing w:after="0" w:line="240" w:lineRule="auto"/>
      </w:pPr>
      <w:r>
        <w:separator/>
      </w:r>
    </w:p>
  </w:footnote>
  <w:footnote w:type="continuationSeparator" w:id="0">
    <w:p w14:paraId="272F6D1E" w14:textId="77777777" w:rsidR="007C12AF" w:rsidRDefault="007C12AF" w:rsidP="00EF6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911114"/>
      <w:docPartObj>
        <w:docPartGallery w:val="Watermarks"/>
        <w:docPartUnique/>
      </w:docPartObj>
    </w:sdtPr>
    <w:sdtEndPr/>
    <w:sdtContent>
      <w:p w14:paraId="58C406EB" w14:textId="68E830E9" w:rsidR="00EF6718" w:rsidRDefault="00B51A42">
        <w:pPr>
          <w:pStyle w:val="Header"/>
        </w:pPr>
        <w:r>
          <w:rPr>
            <w:noProof/>
          </w:rPr>
          <w:pict w14:anchorId="342312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5DA5"/>
    <w:multiLevelType w:val="multilevel"/>
    <w:tmpl w:val="77A47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B9"/>
    <w:rsid w:val="001972AA"/>
    <w:rsid w:val="002B197C"/>
    <w:rsid w:val="003263B2"/>
    <w:rsid w:val="004079B9"/>
    <w:rsid w:val="00451549"/>
    <w:rsid w:val="004852E1"/>
    <w:rsid w:val="0049295B"/>
    <w:rsid w:val="005F1090"/>
    <w:rsid w:val="00610412"/>
    <w:rsid w:val="00614B8C"/>
    <w:rsid w:val="006E1111"/>
    <w:rsid w:val="0075321E"/>
    <w:rsid w:val="007C12AF"/>
    <w:rsid w:val="00813622"/>
    <w:rsid w:val="00857F88"/>
    <w:rsid w:val="00926644"/>
    <w:rsid w:val="00A02421"/>
    <w:rsid w:val="00A30169"/>
    <w:rsid w:val="00A70AB9"/>
    <w:rsid w:val="00AE51CC"/>
    <w:rsid w:val="00B51A42"/>
    <w:rsid w:val="00E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8568420"/>
  <w15:chartTrackingRefBased/>
  <w15:docId w15:val="{35166309-D27E-424C-A1B3-0909E69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18"/>
  </w:style>
  <w:style w:type="paragraph" w:styleId="Footer">
    <w:name w:val="footer"/>
    <w:basedOn w:val="Normal"/>
    <w:link w:val="FooterChar"/>
    <w:uiPriority w:val="99"/>
    <w:unhideWhenUsed/>
    <w:rsid w:val="00EF67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18"/>
  </w:style>
  <w:style w:type="paragraph" w:styleId="BalloonText">
    <w:name w:val="Balloon Text"/>
    <w:basedOn w:val="Normal"/>
    <w:link w:val="BalloonTextChar"/>
    <w:uiPriority w:val="99"/>
    <w:semiHidden/>
    <w:unhideWhenUsed/>
    <w:rsid w:val="002B1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017CB-9C7F-468A-898C-BDFA784F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Townsend</dc:creator>
  <cp:keywords/>
  <dc:description/>
  <cp:lastModifiedBy>Duldulao, Abigail</cp:lastModifiedBy>
  <cp:revision>2</cp:revision>
  <cp:lastPrinted>2018-12-06T20:47:00Z</cp:lastPrinted>
  <dcterms:created xsi:type="dcterms:W3CDTF">2020-09-08T18:12:00Z</dcterms:created>
  <dcterms:modified xsi:type="dcterms:W3CDTF">2020-09-08T18:12:00Z</dcterms:modified>
</cp:coreProperties>
</file>