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AFB7" w14:textId="77F04577" w:rsidR="00E64D1D" w:rsidRDefault="00E64D1D" w:rsidP="00E64D1D">
      <w:pPr>
        <w:jc w:val="center"/>
        <w:rPr>
          <w:b/>
          <w:noProof/>
          <w:u w:val="single"/>
        </w:rPr>
      </w:pPr>
      <w:bookmarkStart w:id="0" w:name="_GoBack"/>
      <w:bookmarkEnd w:id="0"/>
      <w:r>
        <w:rPr>
          <w:b/>
          <w:noProof/>
          <w:u w:val="single"/>
        </w:rPr>
        <w:t>Career Development and College Preparation (CDCP)</w:t>
      </w:r>
    </w:p>
    <w:p w14:paraId="3404C728" w14:textId="57A5E109" w:rsidR="008C4F35" w:rsidRPr="008C4F35" w:rsidRDefault="008C4F35" w:rsidP="00E64D1D">
      <w:pPr>
        <w:jc w:val="center"/>
        <w:rPr>
          <w:b/>
          <w:noProof/>
          <w:u w:val="single"/>
        </w:rPr>
      </w:pPr>
      <w:r w:rsidRPr="008C4F35">
        <w:rPr>
          <w:b/>
          <w:noProof/>
          <w:u w:val="single"/>
        </w:rPr>
        <w:t xml:space="preserve">Non-credit </w:t>
      </w:r>
      <w:r>
        <w:rPr>
          <w:b/>
          <w:noProof/>
          <w:u w:val="single"/>
        </w:rPr>
        <w:t xml:space="preserve">Counseling </w:t>
      </w:r>
      <w:r w:rsidRPr="008C4F35">
        <w:rPr>
          <w:b/>
          <w:noProof/>
          <w:u w:val="single"/>
        </w:rPr>
        <w:t>Certificate Proposal</w:t>
      </w:r>
    </w:p>
    <w:p w14:paraId="3F764A78" w14:textId="77777777" w:rsidR="00E64D1D" w:rsidRDefault="00E64D1D" w:rsidP="00E64D1D">
      <w:pPr>
        <w:pStyle w:val="Default"/>
        <w:rPr>
          <w:rFonts w:ascii="Times New Roman" w:hAnsi="Times New Roman" w:cs="Times New Roman"/>
          <w:b/>
        </w:rPr>
      </w:pPr>
    </w:p>
    <w:p w14:paraId="09A55101" w14:textId="565E6113" w:rsidR="00E64D1D" w:rsidRDefault="00E64D1D" w:rsidP="00E64D1D">
      <w:pPr>
        <w:pStyle w:val="Default"/>
        <w:rPr>
          <w:rFonts w:ascii="Times New Roman" w:hAnsi="Times New Roman" w:cs="Times New Roman"/>
        </w:rPr>
      </w:pPr>
      <w:r w:rsidRPr="00E64D1D">
        <w:rPr>
          <w:rFonts w:ascii="Times New Roman" w:hAnsi="Times New Roman" w:cs="Times New Roman"/>
          <w:b/>
        </w:rPr>
        <w:t>BACKGROUND:</w:t>
      </w:r>
      <w:r w:rsidRPr="00E64D1D">
        <w:rPr>
          <w:rFonts w:ascii="Times New Roman" w:hAnsi="Times New Roman" w:cs="Times New Roman"/>
        </w:rPr>
        <w:t xml:space="preserve"> </w:t>
      </w:r>
      <w:r w:rsidRPr="00E64D1D">
        <w:rPr>
          <w:rFonts w:ascii="Times New Roman" w:hAnsi="Times New Roman" w:cs="Times New Roman"/>
        </w:rPr>
        <w:br/>
        <w:t>What is Career Development and College Preparation</w:t>
      </w:r>
      <w:r>
        <w:rPr>
          <w:rFonts w:ascii="Times New Roman" w:hAnsi="Times New Roman" w:cs="Times New Roman"/>
        </w:rPr>
        <w:t xml:space="preserve"> (CDCP) Funding</w:t>
      </w:r>
      <w:r w:rsidRPr="00E64D1D">
        <w:rPr>
          <w:rFonts w:ascii="Times New Roman" w:hAnsi="Times New Roman" w:cs="Times New Roman"/>
        </w:rPr>
        <w:t xml:space="preserve">? </w:t>
      </w:r>
    </w:p>
    <w:p w14:paraId="6498F8B6" w14:textId="51E3A068" w:rsidR="00E64D1D" w:rsidRDefault="00E64D1D" w:rsidP="00E64D1D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E64D1D">
        <w:rPr>
          <w:rFonts w:ascii="Times New Roman" w:hAnsi="Times New Roman" w:cs="Times New Roman"/>
        </w:rPr>
        <w:t>SB 361 (2006) permanently increased noncredit funding for CDCP (Career Development</w:t>
      </w:r>
      <w:r>
        <w:rPr>
          <w:rFonts w:ascii="Times New Roman" w:hAnsi="Times New Roman" w:cs="Times New Roman"/>
        </w:rPr>
        <w:t xml:space="preserve"> College Preparation) courses.</w:t>
      </w:r>
    </w:p>
    <w:p w14:paraId="7DBF01B9" w14:textId="6D2124A7" w:rsidR="00E64D1D" w:rsidRPr="00E64D1D" w:rsidRDefault="00E64D1D" w:rsidP="00E64D1D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E64D1D">
        <w:rPr>
          <w:rFonts w:ascii="Times New Roman" w:hAnsi="Times New Roman" w:cs="Times New Roman"/>
        </w:rPr>
        <w:t>SB 860:</w:t>
      </w:r>
      <w:r>
        <w:rPr>
          <w:rFonts w:ascii="Times New Roman" w:hAnsi="Times New Roman" w:cs="Times New Roman"/>
        </w:rPr>
        <w:t xml:space="preserve"> Ed Code 84750.5 (d)(4)(A)(ii) </w:t>
      </w:r>
      <w:r w:rsidRPr="00E64D1D">
        <w:rPr>
          <w:rFonts w:ascii="Times New Roman" w:hAnsi="Times New Roman" w:cs="Times New Roman"/>
        </w:rPr>
        <w:t xml:space="preserve">“Beginning in the 2015–16 fiscal year, </w:t>
      </w:r>
      <w:r w:rsidRPr="00E64D1D">
        <w:rPr>
          <w:rFonts w:ascii="Times New Roman" w:hAnsi="Times New Roman" w:cs="Times New Roman"/>
          <w:b/>
          <w:i/>
          <w:u w:val="single"/>
        </w:rPr>
        <w:t xml:space="preserve">career development and college preparation FTES shall be funded at the same level as the credit rate </w:t>
      </w:r>
      <w:r w:rsidRPr="00E64D1D">
        <w:rPr>
          <w:rFonts w:ascii="Times New Roman" w:hAnsi="Times New Roman" w:cs="Times New Roman"/>
        </w:rPr>
        <w:t>specified in paragraph (2).</w:t>
      </w:r>
    </w:p>
    <w:p w14:paraId="363C84C5" w14:textId="07F0E95C" w:rsidR="00E64D1D" w:rsidRDefault="00E64D1D" w:rsidP="00E64D1D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E64D1D">
        <w:rPr>
          <w:rFonts w:ascii="Times New Roman" w:hAnsi="Times New Roman" w:cs="Times New Roman"/>
        </w:rPr>
        <w:t>CDCP courses must be sequen</w:t>
      </w:r>
      <w:r>
        <w:rPr>
          <w:rFonts w:ascii="Times New Roman" w:hAnsi="Times New Roman" w:cs="Times New Roman"/>
        </w:rPr>
        <w:t xml:space="preserve">ced to include at least 2 courses and lead to certificates. </w:t>
      </w:r>
    </w:p>
    <w:p w14:paraId="36CD0C48" w14:textId="66AEAE37" w:rsidR="00E64D1D" w:rsidRPr="00E64D1D" w:rsidRDefault="00E64D1D" w:rsidP="00E64D1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64D1D">
        <w:rPr>
          <w:sz w:val="24"/>
          <w:szCs w:val="24"/>
        </w:rPr>
        <w:t>A certificate of competency (college preparation) may be awarded for students completing noncredit courses in a prescribed pathway, appro</w:t>
      </w:r>
      <w:r>
        <w:rPr>
          <w:sz w:val="24"/>
          <w:szCs w:val="24"/>
        </w:rPr>
        <w:t xml:space="preserve">ved by the Chancellor’s </w:t>
      </w:r>
      <w:proofErr w:type="gramStart"/>
      <w:r>
        <w:rPr>
          <w:sz w:val="24"/>
          <w:szCs w:val="24"/>
        </w:rPr>
        <w:t xml:space="preserve">Office, </w:t>
      </w:r>
      <w:r w:rsidRPr="00E64D1D">
        <w:rPr>
          <w:sz w:val="24"/>
          <w:szCs w:val="24"/>
        </w:rPr>
        <w:t>that</w:t>
      </w:r>
      <w:proofErr w:type="gramEnd"/>
      <w:r w:rsidRPr="00E64D1D">
        <w:rPr>
          <w:sz w:val="24"/>
          <w:szCs w:val="24"/>
        </w:rPr>
        <w:t xml:space="preserve"> prepares students to take credit coursework, including career education and transfer preparation coursework.   </w:t>
      </w:r>
    </w:p>
    <w:p w14:paraId="480D40A8" w14:textId="77777777" w:rsidR="00E64D1D" w:rsidRPr="00E64D1D" w:rsidRDefault="00E64D1D" w:rsidP="00E64D1D">
      <w:pPr>
        <w:pStyle w:val="Default"/>
        <w:ind w:left="1440"/>
        <w:rPr>
          <w:rFonts w:ascii="Times New Roman" w:hAnsi="Times New Roman" w:cs="Times New Roman"/>
        </w:rPr>
      </w:pPr>
    </w:p>
    <w:p w14:paraId="01EBD5F5" w14:textId="77777777" w:rsidR="00E64D1D" w:rsidRDefault="00E64D1D" w:rsidP="00544534">
      <w:pPr>
        <w:pStyle w:val="Default"/>
        <w:rPr>
          <w:rFonts w:ascii="Times New Roman" w:hAnsi="Times New Roman" w:cs="Times New Roman"/>
          <w:b/>
        </w:rPr>
      </w:pPr>
    </w:p>
    <w:p w14:paraId="4F7BD3DF" w14:textId="77777777" w:rsidR="00E64D1D" w:rsidRDefault="00E64D1D" w:rsidP="0054453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PROPOSAL:</w:t>
      </w:r>
    </w:p>
    <w:p w14:paraId="29561BEE" w14:textId="15BAD0E3" w:rsidR="00E64D1D" w:rsidRDefault="00602043" w:rsidP="00E64D1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Type of Certificate of Competency: </w:t>
      </w:r>
      <w:r>
        <w:rPr>
          <w:rFonts w:ascii="Times New Roman" w:hAnsi="Times New Roman" w:cs="Times New Roman"/>
          <w:b/>
        </w:rPr>
        <w:br/>
      </w:r>
      <w:r w:rsidRPr="00602043">
        <w:rPr>
          <w:rFonts w:ascii="Times New Roman" w:hAnsi="Times New Roman" w:cs="Times New Roman"/>
          <w:b/>
        </w:rPr>
        <w:t xml:space="preserve">College Preparation: </w:t>
      </w:r>
      <w:r w:rsidRPr="00602043">
        <w:rPr>
          <w:rFonts w:ascii="Times New Roman" w:hAnsi="Times New Roman" w:cs="Times New Roman"/>
        </w:rPr>
        <w:t>The following Certificate of Competency prepares students to progress in a career path or to undertake degree-applicable or non-degree</w:t>
      </w:r>
      <w:r>
        <w:rPr>
          <w:rFonts w:ascii="Times New Roman" w:hAnsi="Times New Roman" w:cs="Times New Roman"/>
        </w:rPr>
        <w:t>-applicable credit courses,</w:t>
      </w:r>
      <w:r w:rsidRPr="00602043">
        <w:rPr>
          <w:rFonts w:ascii="Times New Roman" w:hAnsi="Times New Roman" w:cs="Times New Roman"/>
        </w:rPr>
        <w:t xml:space="preserve"> including career education and transfer preparation coursework.</w:t>
      </w:r>
      <w:r w:rsidR="00D17BC8">
        <w:rPr>
          <w:rFonts w:ascii="Times New Roman" w:hAnsi="Times New Roman" w:cs="Times New Roman"/>
        </w:rPr>
        <w:t xml:space="preserve">  </w:t>
      </w:r>
    </w:p>
    <w:p w14:paraId="490C0545" w14:textId="77777777" w:rsidR="00544534" w:rsidRDefault="00544534" w:rsidP="00C7181F">
      <w:pPr>
        <w:jc w:val="both"/>
      </w:pPr>
    </w:p>
    <w:p w14:paraId="38DDB5F0" w14:textId="58A3831E" w:rsidR="002817EA" w:rsidRPr="00C7181F" w:rsidRDefault="002817EA" w:rsidP="002817EA">
      <w:pPr>
        <w:rPr>
          <w:b/>
          <w:sz w:val="24"/>
          <w:szCs w:val="24"/>
          <w:u w:val="single"/>
        </w:rPr>
      </w:pPr>
      <w:r w:rsidRPr="00C7181F">
        <w:rPr>
          <w:b/>
          <w:sz w:val="24"/>
          <w:szCs w:val="24"/>
          <w:u w:val="single"/>
        </w:rPr>
        <w:t xml:space="preserve">Title of </w:t>
      </w:r>
      <w:r>
        <w:rPr>
          <w:b/>
          <w:sz w:val="24"/>
          <w:szCs w:val="24"/>
          <w:u w:val="single"/>
        </w:rPr>
        <w:t xml:space="preserve">Non Credit </w:t>
      </w:r>
      <w:r w:rsidRPr="00C7181F">
        <w:rPr>
          <w:b/>
          <w:sz w:val="24"/>
          <w:szCs w:val="24"/>
          <w:u w:val="single"/>
        </w:rPr>
        <w:t>Certificate</w:t>
      </w:r>
      <w:r w:rsidRPr="00C7181F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 xml:space="preserve">Career </w:t>
      </w:r>
      <w:r w:rsidR="00565DB4">
        <w:rPr>
          <w:b/>
          <w:sz w:val="24"/>
          <w:szCs w:val="24"/>
        </w:rPr>
        <w:t xml:space="preserve">and College </w:t>
      </w:r>
      <w:r>
        <w:rPr>
          <w:b/>
          <w:sz w:val="24"/>
          <w:szCs w:val="24"/>
        </w:rPr>
        <w:t>Preparation Certificate of Competency</w:t>
      </w:r>
    </w:p>
    <w:p w14:paraId="2C997E19" w14:textId="77777777" w:rsidR="002817EA" w:rsidRPr="00C7181F" w:rsidRDefault="002817EA" w:rsidP="002817EA">
      <w:pPr>
        <w:jc w:val="both"/>
        <w:rPr>
          <w:b/>
          <w:sz w:val="24"/>
          <w:szCs w:val="24"/>
          <w:u w:val="single"/>
        </w:rPr>
      </w:pPr>
      <w:r w:rsidRPr="00C7181F">
        <w:rPr>
          <w:b/>
          <w:sz w:val="24"/>
          <w:szCs w:val="24"/>
          <w:u w:val="single"/>
        </w:rPr>
        <w:t xml:space="preserve">Program Discipline:  </w:t>
      </w:r>
      <w:r>
        <w:rPr>
          <w:b/>
          <w:sz w:val="24"/>
          <w:szCs w:val="24"/>
        </w:rPr>
        <w:t>Counseling</w:t>
      </w:r>
    </w:p>
    <w:p w14:paraId="17874A9E" w14:textId="77777777" w:rsidR="002817EA" w:rsidRPr="00C7181F" w:rsidRDefault="002817EA" w:rsidP="002817EA">
      <w:pPr>
        <w:jc w:val="both"/>
        <w:rPr>
          <w:b/>
          <w:sz w:val="24"/>
          <w:szCs w:val="24"/>
        </w:rPr>
      </w:pPr>
      <w:r w:rsidRPr="00C7181F">
        <w:rPr>
          <w:b/>
          <w:sz w:val="24"/>
          <w:szCs w:val="24"/>
          <w:u w:val="single"/>
        </w:rPr>
        <w:t xml:space="preserve">Top Code:  </w:t>
      </w:r>
      <w:r w:rsidRPr="00EF7E96">
        <w:rPr>
          <w:b/>
          <w:sz w:val="24"/>
          <w:szCs w:val="24"/>
          <w:u w:val="single"/>
        </w:rPr>
        <w:t>4930.13</w:t>
      </w:r>
    </w:p>
    <w:p w14:paraId="3C465874" w14:textId="77777777" w:rsidR="002817EA" w:rsidRDefault="002817EA" w:rsidP="002817EA">
      <w:pPr>
        <w:jc w:val="both"/>
      </w:pP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2791"/>
        <w:gridCol w:w="2534"/>
      </w:tblGrid>
      <w:tr w:rsidR="002817EA" w14:paraId="79160D52" w14:textId="77777777" w:rsidTr="002817EA">
        <w:trPr>
          <w:trHeight w:val="300"/>
        </w:trPr>
        <w:tc>
          <w:tcPr>
            <w:tcW w:w="3453" w:type="dxa"/>
            <w:shd w:val="clear" w:color="auto" w:fill="auto"/>
          </w:tcPr>
          <w:p w14:paraId="71BC37CC" w14:textId="77777777" w:rsidR="002817EA" w:rsidRPr="00AB14D4" w:rsidRDefault="002817EA" w:rsidP="00CB635A">
            <w:pPr>
              <w:rPr>
                <w:b/>
                <w:sz w:val="24"/>
                <w:szCs w:val="24"/>
              </w:rPr>
            </w:pPr>
            <w:r w:rsidRPr="00AB14D4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791" w:type="dxa"/>
            <w:shd w:val="clear" w:color="auto" w:fill="auto"/>
          </w:tcPr>
          <w:p w14:paraId="5CB58F42" w14:textId="77777777" w:rsidR="002817EA" w:rsidRPr="00AB14D4" w:rsidRDefault="002817EA" w:rsidP="00CB635A">
            <w:pPr>
              <w:rPr>
                <w:b/>
                <w:sz w:val="24"/>
                <w:szCs w:val="24"/>
              </w:rPr>
            </w:pPr>
            <w:r w:rsidRPr="00AB14D4">
              <w:rPr>
                <w:b/>
                <w:sz w:val="24"/>
                <w:szCs w:val="24"/>
              </w:rPr>
              <w:t>COURSE #</w:t>
            </w:r>
          </w:p>
        </w:tc>
        <w:tc>
          <w:tcPr>
            <w:tcW w:w="2534" w:type="dxa"/>
            <w:shd w:val="clear" w:color="auto" w:fill="auto"/>
          </w:tcPr>
          <w:p w14:paraId="3C45C473" w14:textId="77777777" w:rsidR="002817EA" w:rsidRPr="00AB14D4" w:rsidRDefault="002817EA" w:rsidP="00CB63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</w:tr>
      <w:tr w:rsidR="002817EA" w:rsidRPr="00AB14D4" w14:paraId="6AA998E7" w14:textId="77777777" w:rsidTr="002817EA">
        <w:trPr>
          <w:trHeight w:val="240"/>
        </w:trPr>
        <w:tc>
          <w:tcPr>
            <w:tcW w:w="3453" w:type="dxa"/>
            <w:tcBorders>
              <w:bottom w:val="single" w:sz="4" w:space="0" w:color="auto"/>
            </w:tcBorders>
            <w:shd w:val="clear" w:color="auto" w:fill="auto"/>
          </w:tcPr>
          <w:p w14:paraId="5E0A0CCE" w14:textId="216A686F" w:rsidR="002817EA" w:rsidRDefault="007F151B" w:rsidP="00CB6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Career Exploration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429A2B27" w14:textId="508F6551" w:rsidR="002817EA" w:rsidRDefault="007F151B" w:rsidP="00CB6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COUNS-032</w:t>
            </w:r>
            <w:r w:rsidR="002817EA">
              <w:rPr>
                <w:sz w:val="24"/>
                <w:szCs w:val="24"/>
              </w:rPr>
              <w:t>N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2F765BB9" w14:textId="3974573B" w:rsidR="002817EA" w:rsidRDefault="002817EA" w:rsidP="00CB63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817EA" w:rsidRPr="00AB14D4" w14:paraId="43A49480" w14:textId="77777777" w:rsidTr="002817EA">
        <w:trPr>
          <w:trHeight w:val="240"/>
        </w:trPr>
        <w:tc>
          <w:tcPr>
            <w:tcW w:w="8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5A5094" w14:textId="77777777" w:rsidR="002817EA" w:rsidRDefault="002817EA" w:rsidP="002817EA">
            <w:pPr>
              <w:rPr>
                <w:sz w:val="24"/>
                <w:szCs w:val="24"/>
              </w:rPr>
            </w:pPr>
          </w:p>
          <w:p w14:paraId="1FC38F39" w14:textId="77777777" w:rsidR="002817EA" w:rsidRDefault="002817EA" w:rsidP="002817EA">
            <w:pPr>
              <w:rPr>
                <w:sz w:val="24"/>
                <w:szCs w:val="24"/>
              </w:rPr>
            </w:pPr>
            <w:r w:rsidRPr="00CB635A">
              <w:rPr>
                <w:b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one (1) of the following: </w:t>
            </w:r>
          </w:p>
          <w:p w14:paraId="24C20E1F" w14:textId="645609CB" w:rsidR="002817EA" w:rsidRDefault="002817EA" w:rsidP="002817EA">
            <w:pPr>
              <w:rPr>
                <w:sz w:val="24"/>
                <w:szCs w:val="24"/>
              </w:rPr>
            </w:pPr>
          </w:p>
        </w:tc>
      </w:tr>
      <w:tr w:rsidR="00CB635A" w:rsidRPr="00AB14D4" w14:paraId="33DDCB7A" w14:textId="77777777" w:rsidTr="00CB635A">
        <w:trPr>
          <w:trHeight w:val="140"/>
        </w:trPr>
        <w:tc>
          <w:tcPr>
            <w:tcW w:w="3453" w:type="dxa"/>
            <w:tcBorders>
              <w:top w:val="single" w:sz="4" w:space="0" w:color="auto"/>
            </w:tcBorders>
            <w:shd w:val="clear" w:color="auto" w:fill="auto"/>
          </w:tcPr>
          <w:p w14:paraId="075BC7D0" w14:textId="6AC220D7" w:rsidR="00CB635A" w:rsidRPr="00AB14D4" w:rsidRDefault="00CB635A" w:rsidP="002817EA">
            <w:pPr>
              <w:rPr>
                <w:sz w:val="24"/>
                <w:szCs w:val="24"/>
              </w:rPr>
            </w:pPr>
            <w:r w:rsidRPr="00AB14D4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2791" w:type="dxa"/>
            <w:tcBorders>
              <w:top w:val="single" w:sz="4" w:space="0" w:color="auto"/>
            </w:tcBorders>
            <w:shd w:val="clear" w:color="auto" w:fill="auto"/>
          </w:tcPr>
          <w:p w14:paraId="670D2DA2" w14:textId="3472CF2B" w:rsidR="00CB635A" w:rsidRPr="00AB14D4" w:rsidRDefault="00CB635A" w:rsidP="002817EA">
            <w:pPr>
              <w:jc w:val="both"/>
              <w:rPr>
                <w:sz w:val="24"/>
                <w:szCs w:val="24"/>
              </w:rPr>
            </w:pPr>
            <w:r w:rsidRPr="00AB14D4">
              <w:rPr>
                <w:b/>
                <w:sz w:val="24"/>
                <w:szCs w:val="24"/>
              </w:rPr>
              <w:t>COURSE #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14:paraId="7F9C8D18" w14:textId="33827026" w:rsidR="00CB635A" w:rsidRPr="00AB14D4" w:rsidRDefault="00CB635A" w:rsidP="002817E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</w:tr>
      <w:tr w:rsidR="00CB635A" w:rsidRPr="00AB14D4" w14:paraId="040A15EE" w14:textId="77777777" w:rsidTr="00CB635A">
        <w:trPr>
          <w:trHeight w:val="140"/>
        </w:trPr>
        <w:tc>
          <w:tcPr>
            <w:tcW w:w="3453" w:type="dxa"/>
            <w:tcBorders>
              <w:top w:val="single" w:sz="4" w:space="0" w:color="auto"/>
            </w:tcBorders>
            <w:shd w:val="clear" w:color="auto" w:fill="auto"/>
          </w:tcPr>
          <w:p w14:paraId="2AD9F6BD" w14:textId="3C8B4257" w:rsidR="00CB635A" w:rsidRDefault="00CB635A" w:rsidP="0028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Orientation to College</w:t>
            </w:r>
          </w:p>
        </w:tc>
        <w:tc>
          <w:tcPr>
            <w:tcW w:w="2791" w:type="dxa"/>
            <w:shd w:val="clear" w:color="auto" w:fill="auto"/>
          </w:tcPr>
          <w:p w14:paraId="06DB72D3" w14:textId="457CD221" w:rsidR="00CB635A" w:rsidRDefault="00CB635A" w:rsidP="002817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COUNS-030N</w:t>
            </w:r>
          </w:p>
        </w:tc>
        <w:tc>
          <w:tcPr>
            <w:tcW w:w="2534" w:type="dxa"/>
            <w:shd w:val="clear" w:color="auto" w:fill="auto"/>
          </w:tcPr>
          <w:p w14:paraId="2BD0CB0A" w14:textId="6096239D" w:rsidR="00CB635A" w:rsidRDefault="00CB635A" w:rsidP="00281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817EA" w:rsidRPr="00AB14D4" w14:paraId="54A69AD7" w14:textId="77777777" w:rsidTr="002817EA">
        <w:trPr>
          <w:trHeight w:val="240"/>
        </w:trPr>
        <w:tc>
          <w:tcPr>
            <w:tcW w:w="3453" w:type="dxa"/>
            <w:shd w:val="clear" w:color="auto" w:fill="auto"/>
          </w:tcPr>
          <w:p w14:paraId="5ED3E79A" w14:textId="0A35406C" w:rsidR="002817EA" w:rsidRPr="00AB14D4" w:rsidRDefault="007F151B" w:rsidP="00281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Success</w:t>
            </w:r>
          </w:p>
        </w:tc>
        <w:tc>
          <w:tcPr>
            <w:tcW w:w="2791" w:type="dxa"/>
            <w:shd w:val="clear" w:color="auto" w:fill="auto"/>
          </w:tcPr>
          <w:p w14:paraId="0268E873" w14:textId="2313CA8A" w:rsidR="002817EA" w:rsidRPr="00AB14D4" w:rsidRDefault="007F151B" w:rsidP="002817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COUNS-034</w:t>
            </w:r>
            <w:r w:rsidR="00F1234A">
              <w:rPr>
                <w:sz w:val="24"/>
                <w:szCs w:val="24"/>
              </w:rPr>
              <w:t>N</w:t>
            </w:r>
          </w:p>
        </w:tc>
        <w:tc>
          <w:tcPr>
            <w:tcW w:w="2534" w:type="dxa"/>
            <w:shd w:val="clear" w:color="auto" w:fill="auto"/>
          </w:tcPr>
          <w:p w14:paraId="0DAA2DAA" w14:textId="21B26170" w:rsidR="002817EA" w:rsidRPr="00AB14D4" w:rsidRDefault="002817EA" w:rsidP="00281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817EA" w:rsidRPr="00AB14D4" w14:paraId="55159268" w14:textId="77777777" w:rsidTr="002817EA">
        <w:trPr>
          <w:trHeight w:val="240"/>
        </w:trPr>
        <w:tc>
          <w:tcPr>
            <w:tcW w:w="3453" w:type="dxa"/>
            <w:shd w:val="clear" w:color="auto" w:fill="auto"/>
          </w:tcPr>
          <w:p w14:paraId="168F10E9" w14:textId="77777777" w:rsidR="002817EA" w:rsidRPr="00AB14D4" w:rsidRDefault="002817EA" w:rsidP="002817EA">
            <w:pPr>
              <w:rPr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auto"/>
          </w:tcPr>
          <w:p w14:paraId="09887637" w14:textId="77777777" w:rsidR="002817EA" w:rsidRPr="00AB14D4" w:rsidRDefault="002817EA" w:rsidP="002817EA">
            <w:pPr>
              <w:jc w:val="right"/>
              <w:rPr>
                <w:sz w:val="24"/>
                <w:szCs w:val="24"/>
              </w:rPr>
            </w:pPr>
            <w:r w:rsidRPr="00AB14D4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>Hours</w:t>
            </w:r>
            <w:r w:rsidRPr="00AB14D4">
              <w:rPr>
                <w:b/>
                <w:sz w:val="24"/>
                <w:szCs w:val="24"/>
              </w:rPr>
              <w:t>:</w:t>
            </w:r>
            <w:r w:rsidRPr="00AB14D4">
              <w:rPr>
                <w:b/>
                <w:sz w:val="24"/>
                <w:szCs w:val="24"/>
              </w:rPr>
              <w:tab/>
            </w:r>
          </w:p>
        </w:tc>
        <w:tc>
          <w:tcPr>
            <w:tcW w:w="2534" w:type="dxa"/>
            <w:shd w:val="clear" w:color="auto" w:fill="auto"/>
          </w:tcPr>
          <w:p w14:paraId="532BDEF7" w14:textId="5F1B4AF0" w:rsidR="002817EA" w:rsidRPr="00AB14D4" w:rsidRDefault="002817EA" w:rsidP="00281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or 54</w:t>
            </w:r>
          </w:p>
        </w:tc>
      </w:tr>
    </w:tbl>
    <w:p w14:paraId="379E701B" w14:textId="77777777" w:rsidR="002817EA" w:rsidRDefault="002817EA" w:rsidP="002817EA">
      <w:pPr>
        <w:jc w:val="both"/>
      </w:pPr>
    </w:p>
    <w:p w14:paraId="543F8ADB" w14:textId="0D6A2E26" w:rsidR="002817EA" w:rsidRPr="00AD7939" w:rsidRDefault="00602043" w:rsidP="002817EA">
      <w:pPr>
        <w:jc w:val="both"/>
        <w:rPr>
          <w:sz w:val="24"/>
          <w:szCs w:val="24"/>
        </w:rPr>
      </w:pPr>
      <w:r w:rsidRPr="00AD7939">
        <w:rPr>
          <w:sz w:val="24"/>
          <w:szCs w:val="24"/>
        </w:rPr>
        <w:t>Compe</w:t>
      </w:r>
      <w:r w:rsidR="002817EA" w:rsidRPr="00AD7939">
        <w:rPr>
          <w:sz w:val="24"/>
          <w:szCs w:val="24"/>
        </w:rPr>
        <w:t>tencies:</w:t>
      </w:r>
    </w:p>
    <w:p w14:paraId="24BEE59A" w14:textId="08A4D396" w:rsidR="002817EA" w:rsidRPr="00AD7939" w:rsidRDefault="000F4AB4" w:rsidP="00AD7939">
      <w:pPr>
        <w:pStyle w:val="ListParagraph"/>
        <w:numPr>
          <w:ilvl w:val="0"/>
          <w:numId w:val="2"/>
        </w:numPr>
        <w:rPr>
          <w:sz w:val="24"/>
        </w:rPr>
      </w:pPr>
      <w:r>
        <w:rPr>
          <w:b/>
          <w:i/>
          <w:sz w:val="24"/>
        </w:rPr>
        <w:t>Self-Management &amp; Navigating College:</w:t>
      </w:r>
      <w:r>
        <w:rPr>
          <w:sz w:val="24"/>
        </w:rPr>
        <w:t xml:space="preserve"> </w:t>
      </w:r>
      <w:r w:rsidR="00434CEA" w:rsidRPr="00AD7939">
        <w:rPr>
          <w:sz w:val="24"/>
        </w:rPr>
        <w:t xml:space="preserve">Students will </w:t>
      </w:r>
      <w:r w:rsidR="00AD7939">
        <w:rPr>
          <w:sz w:val="24"/>
        </w:rPr>
        <w:t xml:space="preserve">develop the necessary </w:t>
      </w:r>
      <w:r>
        <w:rPr>
          <w:sz w:val="24"/>
        </w:rPr>
        <w:t xml:space="preserve">personal </w:t>
      </w:r>
      <w:r w:rsidR="00AD7939">
        <w:rPr>
          <w:sz w:val="24"/>
        </w:rPr>
        <w:t>skills and knowledge to</w:t>
      </w:r>
      <w:r w:rsidR="00434CEA" w:rsidRPr="00AD7939">
        <w:rPr>
          <w:sz w:val="24"/>
        </w:rPr>
        <w:t xml:space="preserve"> successfully navigate the college system in order to obtain their educational </w:t>
      </w:r>
      <w:r w:rsidR="00AD7939">
        <w:rPr>
          <w:sz w:val="24"/>
        </w:rPr>
        <w:t xml:space="preserve">and career </w:t>
      </w:r>
      <w:r w:rsidR="00434CEA" w:rsidRPr="00AD7939">
        <w:rPr>
          <w:sz w:val="24"/>
        </w:rPr>
        <w:t>goal</w:t>
      </w:r>
      <w:r w:rsidR="00AD7939">
        <w:rPr>
          <w:sz w:val="24"/>
        </w:rPr>
        <w:t xml:space="preserve">s. </w:t>
      </w:r>
      <w:r w:rsidR="00434CEA" w:rsidRPr="00AD7939">
        <w:rPr>
          <w:sz w:val="24"/>
        </w:rPr>
        <w:t xml:space="preserve"> </w:t>
      </w:r>
    </w:p>
    <w:p w14:paraId="744648FB" w14:textId="4647F4B2" w:rsidR="00602043" w:rsidRPr="00602043" w:rsidRDefault="007F151B" w:rsidP="00602043">
      <w:pPr>
        <w:pStyle w:val="ListParagraph"/>
        <w:numPr>
          <w:ilvl w:val="0"/>
          <w:numId w:val="2"/>
        </w:numPr>
        <w:rPr>
          <w:sz w:val="24"/>
        </w:rPr>
      </w:pPr>
      <w:r w:rsidRPr="007F151B">
        <w:rPr>
          <w:b/>
          <w:i/>
          <w:sz w:val="24"/>
        </w:rPr>
        <w:t>Resiliency &amp; Overcoming Adversity:</w:t>
      </w:r>
      <w:r>
        <w:rPr>
          <w:sz w:val="24"/>
        </w:rPr>
        <w:t xml:space="preserve"> </w:t>
      </w:r>
      <w:r w:rsidR="00602043" w:rsidRPr="0013162B">
        <w:rPr>
          <w:sz w:val="24"/>
        </w:rPr>
        <w:t xml:space="preserve">Students will identify personal and </w:t>
      </w:r>
      <w:r w:rsidR="00AD7939">
        <w:rPr>
          <w:sz w:val="24"/>
        </w:rPr>
        <w:t>systemic</w:t>
      </w:r>
      <w:r w:rsidR="00602043" w:rsidRPr="0013162B">
        <w:rPr>
          <w:sz w:val="24"/>
        </w:rPr>
        <w:t xml:space="preserve"> ba</w:t>
      </w:r>
      <w:r w:rsidR="00602043">
        <w:rPr>
          <w:sz w:val="24"/>
        </w:rPr>
        <w:t>rriers</w:t>
      </w:r>
      <w:r w:rsidR="00AD7939">
        <w:rPr>
          <w:sz w:val="24"/>
        </w:rPr>
        <w:t xml:space="preserve"> that impede academic and career success</w:t>
      </w:r>
      <w:r w:rsidR="00602043">
        <w:rPr>
          <w:sz w:val="24"/>
        </w:rPr>
        <w:t xml:space="preserve"> as well as develop pe</w:t>
      </w:r>
      <w:r w:rsidR="00FE30DD">
        <w:rPr>
          <w:sz w:val="24"/>
        </w:rPr>
        <w:t xml:space="preserve">rsonal strengths, and increased connection </w:t>
      </w:r>
      <w:r w:rsidR="00AD7939">
        <w:rPr>
          <w:sz w:val="24"/>
        </w:rPr>
        <w:t>to</w:t>
      </w:r>
      <w:r w:rsidR="00FE30DD">
        <w:rPr>
          <w:sz w:val="24"/>
        </w:rPr>
        <w:t xml:space="preserve"> and knowledge of</w:t>
      </w:r>
      <w:r w:rsidR="00AD7939">
        <w:rPr>
          <w:sz w:val="24"/>
        </w:rPr>
        <w:t xml:space="preserve"> external resources that </w:t>
      </w:r>
      <w:r w:rsidR="00602043">
        <w:rPr>
          <w:sz w:val="24"/>
        </w:rPr>
        <w:t>su</w:t>
      </w:r>
      <w:r w:rsidR="00AD7939">
        <w:rPr>
          <w:sz w:val="24"/>
        </w:rPr>
        <w:t xml:space="preserve">pport their meeting of educational and career </w:t>
      </w:r>
      <w:r w:rsidR="00602043">
        <w:rPr>
          <w:sz w:val="24"/>
        </w:rPr>
        <w:t>goals.</w:t>
      </w:r>
    </w:p>
    <w:p w14:paraId="70CB6CA7" w14:textId="4A2D48A0" w:rsidR="00AD7939" w:rsidRPr="00AD7939" w:rsidRDefault="007F151B" w:rsidP="002817E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F151B">
        <w:rPr>
          <w:b/>
          <w:i/>
          <w:sz w:val="24"/>
        </w:rPr>
        <w:t>Critical Thinking</w:t>
      </w:r>
      <w:r>
        <w:rPr>
          <w:sz w:val="24"/>
        </w:rPr>
        <w:t xml:space="preserve">: </w:t>
      </w:r>
      <w:r w:rsidR="00FE30DD">
        <w:rPr>
          <w:sz w:val="24"/>
        </w:rPr>
        <w:t>Students will develop</w:t>
      </w:r>
      <w:r w:rsidR="00AD7939">
        <w:rPr>
          <w:sz w:val="24"/>
        </w:rPr>
        <w:t xml:space="preserve"> critic</w:t>
      </w:r>
      <w:r w:rsidR="00FE30DD">
        <w:rPr>
          <w:sz w:val="24"/>
        </w:rPr>
        <w:t>al thinking skills that support</w:t>
      </w:r>
      <w:r w:rsidR="00AD7939">
        <w:rPr>
          <w:sz w:val="24"/>
        </w:rPr>
        <w:t xml:space="preserve"> sound decision-making in regards to academic </w:t>
      </w:r>
      <w:r w:rsidR="00FE30DD">
        <w:rPr>
          <w:sz w:val="24"/>
        </w:rPr>
        <w:t xml:space="preserve">pathways </w:t>
      </w:r>
      <w:r w:rsidR="00AD7939">
        <w:rPr>
          <w:sz w:val="24"/>
        </w:rPr>
        <w:t xml:space="preserve">and career </w:t>
      </w:r>
      <w:r w:rsidR="00FE30DD">
        <w:rPr>
          <w:sz w:val="24"/>
        </w:rPr>
        <w:t xml:space="preserve">choices. </w:t>
      </w:r>
    </w:p>
    <w:p w14:paraId="518330F2" w14:textId="7AC6D8BE" w:rsidR="007F151B" w:rsidRPr="000F4AB4" w:rsidRDefault="007F151B" w:rsidP="002817EA">
      <w:pPr>
        <w:pStyle w:val="ListParagraph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0F4AB4">
        <w:rPr>
          <w:b/>
          <w:i/>
          <w:sz w:val="24"/>
        </w:rPr>
        <w:lastRenderedPageBreak/>
        <w:t xml:space="preserve">Time Management and Planning: </w:t>
      </w:r>
      <w:r w:rsidR="000F4AB4">
        <w:rPr>
          <w:sz w:val="24"/>
        </w:rPr>
        <w:t>Students will develop skills in managing time and planning balanced academic, work, and personal schedules that contribute to success academically and in the workplace.</w:t>
      </w:r>
      <w:r w:rsidR="00565DB4">
        <w:rPr>
          <w:sz w:val="24"/>
        </w:rPr>
        <w:t xml:space="preserve">  </w:t>
      </w:r>
      <w:r w:rsidR="00565DB4" w:rsidRPr="00565DB4">
        <w:rPr>
          <w:sz w:val="24"/>
        </w:rPr>
        <w:t xml:space="preserve">Students will also develop an appropriate educational </w:t>
      </w:r>
      <w:r w:rsidR="00565DB4">
        <w:rPr>
          <w:sz w:val="24"/>
        </w:rPr>
        <w:t>plan</w:t>
      </w:r>
      <w:r w:rsidR="00565DB4" w:rsidRPr="00565DB4">
        <w:rPr>
          <w:sz w:val="24"/>
        </w:rPr>
        <w:t xml:space="preserve"> to achieve their </w:t>
      </w:r>
      <w:r w:rsidR="00565DB4">
        <w:rPr>
          <w:sz w:val="24"/>
        </w:rPr>
        <w:t xml:space="preserve">academic and </w:t>
      </w:r>
      <w:r w:rsidR="00565DB4" w:rsidRPr="00565DB4">
        <w:rPr>
          <w:sz w:val="24"/>
        </w:rPr>
        <w:t xml:space="preserve">career goal.  </w:t>
      </w:r>
    </w:p>
    <w:p w14:paraId="73D99DF3" w14:textId="241DB1A3" w:rsidR="000F4AB4" w:rsidRPr="000F4AB4" w:rsidRDefault="007F151B" w:rsidP="002817E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F151B">
        <w:rPr>
          <w:b/>
          <w:i/>
          <w:sz w:val="24"/>
        </w:rPr>
        <w:t>Self-Awareness</w:t>
      </w:r>
      <w:r w:rsidR="000F4AB4">
        <w:rPr>
          <w:b/>
          <w:i/>
          <w:sz w:val="24"/>
        </w:rPr>
        <w:t xml:space="preserve">: </w:t>
      </w:r>
      <w:r w:rsidR="00FE30DD">
        <w:rPr>
          <w:sz w:val="24"/>
        </w:rPr>
        <w:t xml:space="preserve">Students will increase self-awareness in areas important to college and career decision-making and success including awareness of </w:t>
      </w:r>
      <w:r w:rsidR="00AD7939">
        <w:rPr>
          <w:sz w:val="24"/>
        </w:rPr>
        <w:t>personal values, thoughts</w:t>
      </w:r>
      <w:r w:rsidR="00FE30DD">
        <w:rPr>
          <w:sz w:val="24"/>
        </w:rPr>
        <w:t>, beliefs</w:t>
      </w:r>
      <w:r w:rsidR="000F4AB4">
        <w:rPr>
          <w:sz w:val="24"/>
        </w:rPr>
        <w:t>, salary expectations, and work environment preferences.</w:t>
      </w:r>
    </w:p>
    <w:p w14:paraId="2E304286" w14:textId="41DC4AB9" w:rsidR="00C7181F" w:rsidRDefault="000F4AB4" w:rsidP="00602043">
      <w:pPr>
        <w:pStyle w:val="ListParagraph"/>
        <w:numPr>
          <w:ilvl w:val="0"/>
          <w:numId w:val="2"/>
        </w:numPr>
        <w:jc w:val="both"/>
      </w:pPr>
      <w:r w:rsidRPr="00565DB4">
        <w:rPr>
          <w:b/>
          <w:i/>
          <w:sz w:val="24"/>
        </w:rPr>
        <w:t>Personal Decision-making:</w:t>
      </w:r>
      <w:r w:rsidRPr="00565DB4">
        <w:rPr>
          <w:sz w:val="24"/>
        </w:rPr>
        <w:t xml:space="preserve"> Utilizing career and personality assessments as well as research on different careers</w:t>
      </w:r>
      <w:r w:rsidR="00565DB4">
        <w:rPr>
          <w:sz w:val="24"/>
        </w:rPr>
        <w:t xml:space="preserve"> and employment outlook data</w:t>
      </w:r>
      <w:r w:rsidRPr="00565DB4">
        <w:rPr>
          <w:sz w:val="24"/>
        </w:rPr>
        <w:t xml:space="preserve">, students will align their skills, interests, abilities, and values to appropriate career options. </w:t>
      </w:r>
    </w:p>
    <w:p w14:paraId="7907EF1E" w14:textId="77777777" w:rsidR="00602043" w:rsidRPr="001940A9" w:rsidRDefault="00602043" w:rsidP="00602043">
      <w:pPr>
        <w:jc w:val="both"/>
        <w:rPr>
          <w:i/>
          <w:noProof/>
          <w:sz w:val="24"/>
          <w:szCs w:val="24"/>
        </w:rPr>
      </w:pPr>
    </w:p>
    <w:p w14:paraId="7B42B0E9" w14:textId="0027F469" w:rsidR="00C7181F" w:rsidRPr="0013162B" w:rsidRDefault="0013162B" w:rsidP="00F57008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t>Camille Santana</w:t>
      </w:r>
      <w:r w:rsidR="00C7181F" w:rsidRPr="004142F4">
        <w:rPr>
          <w:b/>
          <w:noProof/>
          <w:sz w:val="24"/>
          <w:szCs w:val="24"/>
          <w:u w:val="single"/>
        </w:rPr>
        <w:t xml:space="preserve">  </w:t>
      </w:r>
      <w:r>
        <w:rPr>
          <w:b/>
          <w:noProof/>
          <w:sz w:val="24"/>
          <w:szCs w:val="24"/>
        </w:rPr>
        <w:t xml:space="preserve">           </w:t>
      </w:r>
      <w:r w:rsidR="00C7181F">
        <w:rPr>
          <w:b/>
          <w:noProof/>
          <w:sz w:val="24"/>
          <w:szCs w:val="24"/>
        </w:rPr>
        <w:t xml:space="preserve">      </w:t>
      </w:r>
      <w:r w:rsidR="002817EA">
        <w:rPr>
          <w:b/>
          <w:noProof/>
          <w:sz w:val="24"/>
          <w:szCs w:val="24"/>
          <w:u w:val="single"/>
        </w:rPr>
        <w:t>10/08/19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 w:rsidR="00F57008">
        <w:rPr>
          <w:b/>
          <w:noProof/>
          <w:sz w:val="24"/>
          <w:szCs w:val="24"/>
          <w:u w:val="single"/>
        </w:rPr>
        <w:t xml:space="preserve">Trinidad </w:t>
      </w:r>
      <w:r>
        <w:rPr>
          <w:b/>
          <w:noProof/>
          <w:sz w:val="24"/>
          <w:szCs w:val="24"/>
          <w:u w:val="single"/>
        </w:rPr>
        <w:t>Zavala</w:t>
      </w:r>
      <w:r w:rsidRPr="004142F4">
        <w:rPr>
          <w:b/>
          <w:noProof/>
          <w:sz w:val="24"/>
          <w:szCs w:val="24"/>
          <w:u w:val="single"/>
        </w:rPr>
        <w:t xml:space="preserve"> </w:t>
      </w:r>
      <w:r>
        <w:rPr>
          <w:b/>
          <w:noProof/>
          <w:sz w:val="24"/>
          <w:szCs w:val="24"/>
        </w:rPr>
        <w:t xml:space="preserve">                </w:t>
      </w:r>
      <w:r w:rsidR="00CB635A">
        <w:rPr>
          <w:b/>
          <w:noProof/>
          <w:sz w:val="24"/>
          <w:szCs w:val="24"/>
          <w:u w:val="single"/>
        </w:rPr>
        <w:t>10/</w:t>
      </w:r>
      <w:r w:rsidR="002817EA">
        <w:rPr>
          <w:b/>
          <w:noProof/>
          <w:sz w:val="24"/>
          <w:szCs w:val="24"/>
          <w:u w:val="single"/>
        </w:rPr>
        <w:t>08/19</w:t>
      </w:r>
    </w:p>
    <w:p w14:paraId="571999D1" w14:textId="12377B47" w:rsidR="00AC5E7A" w:rsidRDefault="0013162B" w:rsidP="00F1234A">
      <w:pPr>
        <w:jc w:val="both"/>
      </w:pPr>
      <w:r>
        <w:rPr>
          <w:noProof/>
          <w:sz w:val="22"/>
          <w:szCs w:val="22"/>
        </w:rPr>
        <w:t>Counseling Faculty</w:t>
      </w:r>
      <w:r>
        <w:rPr>
          <w:noProof/>
          <w:sz w:val="22"/>
          <w:szCs w:val="22"/>
        </w:rPr>
        <w:tab/>
        <w:t xml:space="preserve">   </w:t>
      </w:r>
      <w:r w:rsidR="00C7181F" w:rsidRPr="0057450F">
        <w:rPr>
          <w:noProof/>
          <w:sz w:val="22"/>
          <w:szCs w:val="22"/>
        </w:rPr>
        <w:t xml:space="preserve">         </w:t>
      </w:r>
      <w:r w:rsidR="00C7181F">
        <w:rPr>
          <w:noProof/>
          <w:sz w:val="22"/>
          <w:szCs w:val="22"/>
        </w:rPr>
        <w:t>D</w:t>
      </w:r>
      <w:r w:rsidR="00C7181F" w:rsidRPr="0057450F">
        <w:rPr>
          <w:noProof/>
          <w:sz w:val="22"/>
          <w:szCs w:val="22"/>
        </w:rPr>
        <w:t>ate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Counseling Faculty</w:t>
      </w:r>
      <w:r>
        <w:rPr>
          <w:noProof/>
          <w:sz w:val="22"/>
          <w:szCs w:val="22"/>
        </w:rPr>
        <w:tab/>
      </w:r>
      <w:r w:rsidRPr="0057450F">
        <w:rPr>
          <w:noProof/>
          <w:sz w:val="22"/>
          <w:szCs w:val="22"/>
        </w:rPr>
        <w:t xml:space="preserve">               </w:t>
      </w:r>
      <w:r>
        <w:rPr>
          <w:noProof/>
          <w:sz w:val="22"/>
          <w:szCs w:val="22"/>
        </w:rPr>
        <w:t>D</w:t>
      </w:r>
      <w:r w:rsidRPr="0057450F">
        <w:rPr>
          <w:noProof/>
          <w:sz w:val="22"/>
          <w:szCs w:val="22"/>
        </w:rPr>
        <w:t>ate</w:t>
      </w:r>
    </w:p>
    <w:sectPr w:rsidR="00AC5E7A" w:rsidSect="008C4F3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Minion Pro"/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46CE"/>
    <w:multiLevelType w:val="hybridMultilevel"/>
    <w:tmpl w:val="29FE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4A68"/>
    <w:multiLevelType w:val="hybridMultilevel"/>
    <w:tmpl w:val="D08E808C"/>
    <w:lvl w:ilvl="0" w:tplc="65BA13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F2E34"/>
    <w:multiLevelType w:val="hybridMultilevel"/>
    <w:tmpl w:val="75C21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31BBF"/>
    <w:multiLevelType w:val="hybridMultilevel"/>
    <w:tmpl w:val="75C21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30655"/>
    <w:multiLevelType w:val="hybridMultilevel"/>
    <w:tmpl w:val="3692D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3644E5"/>
    <w:multiLevelType w:val="hybridMultilevel"/>
    <w:tmpl w:val="AB9E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26101"/>
    <w:multiLevelType w:val="hybridMultilevel"/>
    <w:tmpl w:val="9C003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C6609"/>
    <w:multiLevelType w:val="hybridMultilevel"/>
    <w:tmpl w:val="3C0ACDE2"/>
    <w:lvl w:ilvl="0" w:tplc="CEF8B1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1F"/>
    <w:rsid w:val="00023AB4"/>
    <w:rsid w:val="0007062D"/>
    <w:rsid w:val="000757B7"/>
    <w:rsid w:val="000F4AB4"/>
    <w:rsid w:val="0013162B"/>
    <w:rsid w:val="001B0606"/>
    <w:rsid w:val="001C24A0"/>
    <w:rsid w:val="002817EA"/>
    <w:rsid w:val="00434CEA"/>
    <w:rsid w:val="004B3CF9"/>
    <w:rsid w:val="00533EA2"/>
    <w:rsid w:val="00544534"/>
    <w:rsid w:val="00565DB4"/>
    <w:rsid w:val="005C3501"/>
    <w:rsid w:val="005C3CC3"/>
    <w:rsid w:val="00602043"/>
    <w:rsid w:val="00674EEB"/>
    <w:rsid w:val="007F151B"/>
    <w:rsid w:val="008C4F35"/>
    <w:rsid w:val="008F1656"/>
    <w:rsid w:val="00A427BA"/>
    <w:rsid w:val="00AC5E7A"/>
    <w:rsid w:val="00AD7939"/>
    <w:rsid w:val="00B37072"/>
    <w:rsid w:val="00BC56F6"/>
    <w:rsid w:val="00C7181F"/>
    <w:rsid w:val="00CB635A"/>
    <w:rsid w:val="00D17BC8"/>
    <w:rsid w:val="00D84023"/>
    <w:rsid w:val="00DB61F1"/>
    <w:rsid w:val="00E64D1D"/>
    <w:rsid w:val="00EF7E96"/>
    <w:rsid w:val="00F1234A"/>
    <w:rsid w:val="00F57008"/>
    <w:rsid w:val="00FC61BF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454DA"/>
  <w15:docId w15:val="{6BFC2922-CC80-4EB7-82B8-AAC73C45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2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1656"/>
    <w:pPr>
      <w:ind w:left="720"/>
      <w:contextualSpacing/>
    </w:pPr>
  </w:style>
  <w:style w:type="paragraph" w:customStyle="1" w:styleId="Default">
    <w:name w:val="Default"/>
    <w:rsid w:val="00544534"/>
    <w:pPr>
      <w:autoSpaceDE w:val="0"/>
      <w:autoSpaceDN w:val="0"/>
      <w:adjustRightInd w:val="0"/>
      <w:spacing w:after="0" w:line="240" w:lineRule="auto"/>
    </w:pPr>
    <w:rPr>
      <w:rFonts w:ascii="Segoe UI Light" w:hAnsi="Segoe UI Light" w:cs="Segoe U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Valenzuela</dc:creator>
  <cp:keywords/>
  <dc:description/>
  <cp:lastModifiedBy>Abigail Duldulao</cp:lastModifiedBy>
  <cp:revision>2</cp:revision>
  <cp:lastPrinted>2018-12-11T22:44:00Z</cp:lastPrinted>
  <dcterms:created xsi:type="dcterms:W3CDTF">2019-10-17T22:00:00Z</dcterms:created>
  <dcterms:modified xsi:type="dcterms:W3CDTF">2019-10-17T22:00:00Z</dcterms:modified>
</cp:coreProperties>
</file>