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429F3" w14:textId="77777777" w:rsidR="00467FBA" w:rsidRDefault="00467FBA" w:rsidP="00752BB7">
      <w:pPr>
        <w:rPr>
          <w:b/>
          <w:bCs/>
          <w:sz w:val="28"/>
          <w:szCs w:val="28"/>
        </w:rPr>
      </w:pPr>
      <w:r w:rsidRPr="00467FBA">
        <w:rPr>
          <w:b/>
          <w:bCs/>
          <w:i/>
          <w:iCs/>
          <w:sz w:val="28"/>
          <w:szCs w:val="28"/>
        </w:rPr>
        <w:t xml:space="preserve">(Previous) </w:t>
      </w:r>
      <w:r w:rsidRPr="00467FBA">
        <w:rPr>
          <w:b/>
          <w:bCs/>
          <w:sz w:val="28"/>
          <w:szCs w:val="28"/>
        </w:rPr>
        <w:t>ACCJC Standard I.B</w:t>
      </w:r>
    </w:p>
    <w:p w14:paraId="7407094D" w14:textId="77777777" w:rsidR="00024DF2" w:rsidRPr="00024DF2" w:rsidRDefault="00024DF2" w:rsidP="00024DF2">
      <w:pPr>
        <w:rPr>
          <w:b/>
          <w:bCs/>
          <w:sz w:val="28"/>
          <w:szCs w:val="28"/>
        </w:rPr>
      </w:pPr>
      <w:r w:rsidRPr="00024DF2">
        <w:rPr>
          <w:b/>
          <w:bCs/>
          <w:sz w:val="28"/>
          <w:szCs w:val="28"/>
        </w:rPr>
        <w:t xml:space="preserve">I.B.6. </w:t>
      </w:r>
    </w:p>
    <w:p w14:paraId="4CFCB5A0" w14:textId="77777777" w:rsidR="00024DF2" w:rsidRPr="00024DF2" w:rsidRDefault="00024DF2" w:rsidP="00024DF2">
      <w:pPr>
        <w:rPr>
          <w:sz w:val="24"/>
          <w:szCs w:val="24"/>
        </w:rPr>
      </w:pPr>
      <w:r w:rsidRPr="00024DF2">
        <w:rPr>
          <w:i/>
          <w:iCs/>
          <w:sz w:val="24"/>
          <w:szCs w:val="24"/>
        </w:rPr>
        <w:t xml:space="preserve">The institution disaggregates and analyzes learning outcomes and achievement for subpopulations of students. When the institution identifies performance gaps, it implements strategies, which may include allocation or reallocation of human, fiscal and other resources, to mitigate those gaps and evaluates the efficacy of those strategies. </w:t>
      </w:r>
    </w:p>
    <w:p w14:paraId="652C75C5" w14:textId="19286152" w:rsidR="00467FBA" w:rsidRDefault="00024DF2" w:rsidP="00752BB7">
      <w:pPr>
        <w:rPr>
          <w:b/>
          <w:bCs/>
          <w:sz w:val="28"/>
          <w:szCs w:val="28"/>
        </w:rPr>
      </w:pPr>
      <w:r w:rsidRPr="00024DF2">
        <w:rPr>
          <w:b/>
          <w:bCs/>
          <w:i/>
          <w:iCs/>
          <w:sz w:val="28"/>
          <w:szCs w:val="28"/>
        </w:rPr>
        <w:t xml:space="preserve">(Previous) </w:t>
      </w:r>
      <w:r w:rsidRPr="00024DF2">
        <w:rPr>
          <w:b/>
          <w:bCs/>
          <w:sz w:val="28"/>
          <w:szCs w:val="28"/>
        </w:rPr>
        <w:t>ACCJC Standard II.A</w:t>
      </w:r>
    </w:p>
    <w:p w14:paraId="48B61812" w14:textId="77777777" w:rsidR="00024DF2" w:rsidRPr="00024DF2" w:rsidRDefault="00024DF2" w:rsidP="00024DF2">
      <w:pPr>
        <w:rPr>
          <w:b/>
          <w:bCs/>
          <w:sz w:val="28"/>
          <w:szCs w:val="28"/>
        </w:rPr>
      </w:pPr>
      <w:r w:rsidRPr="00024DF2">
        <w:rPr>
          <w:b/>
          <w:bCs/>
          <w:sz w:val="28"/>
          <w:szCs w:val="28"/>
        </w:rPr>
        <w:t xml:space="preserve">II.A.3. </w:t>
      </w:r>
    </w:p>
    <w:p w14:paraId="0CC64342" w14:textId="77777777" w:rsidR="00024DF2" w:rsidRPr="00024DF2" w:rsidRDefault="00024DF2" w:rsidP="00024DF2">
      <w:pPr>
        <w:rPr>
          <w:sz w:val="24"/>
          <w:szCs w:val="24"/>
        </w:rPr>
      </w:pPr>
      <w:r w:rsidRPr="00024DF2">
        <w:rPr>
          <w:i/>
          <w:iCs/>
          <w:sz w:val="24"/>
          <w:szCs w:val="24"/>
        </w:rPr>
        <w:t xml:space="preserve">The institution identifies and regularly assesses learning outcomes for courses, programs, certificates and degrees using established institutional procedures. The institution has officially approved and current course outlines that include student learning outcomes. In every class section students receive a course syllabus that includes learning outcomes from the institution’s officially approved course outline. </w:t>
      </w:r>
    </w:p>
    <w:p w14:paraId="24D5A92B" w14:textId="3B8CFFE7" w:rsidR="00024DF2" w:rsidRDefault="000B58B1" w:rsidP="00752BB7">
      <w:pPr>
        <w:rPr>
          <w:b/>
          <w:bCs/>
          <w:sz w:val="28"/>
          <w:szCs w:val="28"/>
        </w:rPr>
      </w:pPr>
      <w:r w:rsidRPr="000B58B1">
        <w:rPr>
          <w:b/>
          <w:bCs/>
          <w:i/>
          <w:iCs/>
          <w:sz w:val="28"/>
          <w:szCs w:val="28"/>
        </w:rPr>
        <w:t>From our Peer Review Report</w:t>
      </w:r>
    </w:p>
    <w:p w14:paraId="07DDFBFF" w14:textId="77777777" w:rsidR="000B58B1" w:rsidRPr="000B58B1" w:rsidRDefault="000B58B1" w:rsidP="000B58B1">
      <w:pPr>
        <w:rPr>
          <w:i/>
          <w:iCs/>
          <w:sz w:val="24"/>
          <w:szCs w:val="24"/>
        </w:rPr>
      </w:pPr>
      <w:r w:rsidRPr="000B58B1">
        <w:rPr>
          <w:i/>
          <w:iCs/>
          <w:sz w:val="24"/>
          <w:szCs w:val="24"/>
        </w:rPr>
        <w:t>“The team encourages the college to continue the implementation of eLumen to assist with the disaggregation of student learning outcomes. (I.B.6)”</w:t>
      </w:r>
    </w:p>
    <w:p w14:paraId="6A192A6B" w14:textId="77777777" w:rsidR="000B58B1" w:rsidRPr="000B58B1" w:rsidRDefault="000B58B1" w:rsidP="000B58B1">
      <w:pPr>
        <w:rPr>
          <w:b/>
          <w:bCs/>
          <w:sz w:val="28"/>
          <w:szCs w:val="28"/>
        </w:rPr>
      </w:pPr>
      <w:r w:rsidRPr="000B58B1">
        <w:rPr>
          <w:b/>
          <w:bCs/>
          <w:i/>
          <w:iCs/>
          <w:sz w:val="28"/>
          <w:szCs w:val="28"/>
        </w:rPr>
        <w:t>Page 18 – Peer Review Team Report</w:t>
      </w:r>
    </w:p>
    <w:p w14:paraId="627D4155" w14:textId="77777777" w:rsidR="000B58B1" w:rsidRPr="00BB5B40" w:rsidRDefault="00BB5B40" w:rsidP="000B58B1">
      <w:pPr>
        <w:rPr>
          <w:b/>
          <w:bCs/>
          <w:i/>
          <w:iCs/>
          <w:sz w:val="26"/>
          <w:szCs w:val="26"/>
        </w:rPr>
      </w:pPr>
      <w:hyperlink r:id="rId5" w:history="1">
        <w:r w:rsidR="000B58B1" w:rsidRPr="00BB5B40">
          <w:rPr>
            <w:rStyle w:val="Hyperlink"/>
            <w:b/>
            <w:bCs/>
            <w:i/>
            <w:iCs/>
            <w:sz w:val="26"/>
            <w:szCs w:val="26"/>
          </w:rPr>
          <w:t>https://www.losmedanos.edu/accreditation/LosMedanos_PRTR2020_FINAL.PDF</w:t>
        </w:r>
      </w:hyperlink>
      <w:r w:rsidR="000B58B1" w:rsidRPr="00BB5B40">
        <w:rPr>
          <w:b/>
          <w:bCs/>
          <w:i/>
          <w:iCs/>
          <w:sz w:val="26"/>
          <w:szCs w:val="26"/>
        </w:rPr>
        <w:t xml:space="preserve"> </w:t>
      </w:r>
    </w:p>
    <w:p w14:paraId="1F0FDE2C" w14:textId="77777777" w:rsidR="00D0498F" w:rsidRDefault="00D0498F" w:rsidP="000B58B1">
      <w:pPr>
        <w:rPr>
          <w:b/>
          <w:bCs/>
          <w:i/>
          <w:iCs/>
          <w:sz w:val="28"/>
          <w:szCs w:val="28"/>
        </w:rPr>
      </w:pPr>
    </w:p>
    <w:p w14:paraId="2472F408" w14:textId="77777777" w:rsidR="00CC697F" w:rsidRDefault="00CC697F" w:rsidP="000B58B1">
      <w:pPr>
        <w:rPr>
          <w:b/>
          <w:bCs/>
          <w:i/>
          <w:iCs/>
          <w:sz w:val="28"/>
          <w:szCs w:val="28"/>
        </w:rPr>
      </w:pPr>
    </w:p>
    <w:p w14:paraId="07EE0090" w14:textId="77777777" w:rsidR="00CC697F" w:rsidRDefault="00CC697F" w:rsidP="000B58B1">
      <w:pPr>
        <w:rPr>
          <w:b/>
          <w:bCs/>
          <w:i/>
          <w:iCs/>
          <w:sz w:val="28"/>
          <w:szCs w:val="28"/>
        </w:rPr>
      </w:pPr>
    </w:p>
    <w:p w14:paraId="0FB432F5" w14:textId="77777777" w:rsidR="00D0498F" w:rsidRDefault="00D0498F" w:rsidP="000B58B1">
      <w:pPr>
        <w:rPr>
          <w:b/>
          <w:bCs/>
          <w:i/>
          <w:iCs/>
          <w:sz w:val="28"/>
          <w:szCs w:val="28"/>
        </w:rPr>
      </w:pPr>
    </w:p>
    <w:p w14:paraId="25A0F4D5" w14:textId="77777777" w:rsidR="00CC697F" w:rsidRDefault="00CC697F" w:rsidP="000B58B1">
      <w:pPr>
        <w:rPr>
          <w:b/>
          <w:bCs/>
          <w:i/>
          <w:iCs/>
          <w:sz w:val="28"/>
          <w:szCs w:val="28"/>
        </w:rPr>
      </w:pPr>
    </w:p>
    <w:p w14:paraId="7F140EC1" w14:textId="77777777" w:rsidR="00D0498F" w:rsidRDefault="00D0498F" w:rsidP="000B58B1">
      <w:pPr>
        <w:rPr>
          <w:b/>
          <w:bCs/>
          <w:i/>
          <w:iCs/>
          <w:sz w:val="28"/>
          <w:szCs w:val="28"/>
        </w:rPr>
      </w:pPr>
    </w:p>
    <w:p w14:paraId="39B88BDD" w14:textId="77777777" w:rsidR="00D0498F" w:rsidRDefault="00D0498F" w:rsidP="000B58B1">
      <w:pPr>
        <w:rPr>
          <w:b/>
          <w:bCs/>
          <w:i/>
          <w:iCs/>
          <w:sz w:val="28"/>
          <w:szCs w:val="28"/>
        </w:rPr>
      </w:pPr>
    </w:p>
    <w:p w14:paraId="14D66441" w14:textId="4C67065A" w:rsidR="00D0498F" w:rsidRDefault="00D0498F" w:rsidP="000B58B1">
      <w:pPr>
        <w:rPr>
          <w:b/>
          <w:bCs/>
          <w:i/>
          <w:iCs/>
          <w:sz w:val="28"/>
          <w:szCs w:val="28"/>
        </w:rPr>
      </w:pPr>
    </w:p>
    <w:p w14:paraId="276B801E" w14:textId="77777777" w:rsidR="00BB5B40" w:rsidRDefault="00BB5B40" w:rsidP="000B58B1">
      <w:pPr>
        <w:rPr>
          <w:b/>
          <w:bCs/>
          <w:i/>
          <w:iCs/>
          <w:sz w:val="28"/>
          <w:szCs w:val="28"/>
        </w:rPr>
      </w:pPr>
      <w:bookmarkStart w:id="0" w:name="_GoBack"/>
      <w:bookmarkEnd w:id="0"/>
    </w:p>
    <w:p w14:paraId="0919FE87" w14:textId="77777777" w:rsidR="00D0498F" w:rsidRPr="000B58B1" w:rsidRDefault="00D0498F" w:rsidP="000B58B1">
      <w:pPr>
        <w:rPr>
          <w:b/>
          <w:bCs/>
          <w:sz w:val="28"/>
          <w:szCs w:val="28"/>
        </w:rPr>
      </w:pPr>
    </w:p>
    <w:p w14:paraId="551F76B2" w14:textId="26E0FB5D" w:rsidR="00467FBA" w:rsidRDefault="00D0498F" w:rsidP="00752BB7">
      <w:pPr>
        <w:rPr>
          <w:b/>
          <w:bCs/>
          <w:sz w:val="28"/>
          <w:szCs w:val="28"/>
        </w:rPr>
      </w:pPr>
      <w:r w:rsidRPr="00D0498F">
        <w:rPr>
          <w:b/>
          <w:bCs/>
          <w:i/>
          <w:iCs/>
          <w:sz w:val="28"/>
          <w:szCs w:val="28"/>
        </w:rPr>
        <w:lastRenderedPageBreak/>
        <w:t xml:space="preserve">(New) 2024 </w:t>
      </w:r>
      <w:r w:rsidRPr="00D0498F">
        <w:rPr>
          <w:b/>
          <w:bCs/>
          <w:sz w:val="28"/>
          <w:szCs w:val="28"/>
        </w:rPr>
        <w:t>ACCJC Standard 2</w:t>
      </w:r>
    </w:p>
    <w:p w14:paraId="02DF0ACB" w14:textId="77777777" w:rsidR="00D0498F" w:rsidRPr="00D0498F" w:rsidRDefault="00D0498F" w:rsidP="00D0498F">
      <w:pPr>
        <w:rPr>
          <w:b/>
          <w:bCs/>
          <w:sz w:val="28"/>
          <w:szCs w:val="28"/>
        </w:rPr>
      </w:pPr>
      <w:r w:rsidRPr="00D0498F">
        <w:rPr>
          <w:b/>
          <w:bCs/>
          <w:sz w:val="28"/>
          <w:szCs w:val="28"/>
        </w:rPr>
        <w:t xml:space="preserve">2.9 </w:t>
      </w:r>
    </w:p>
    <w:p w14:paraId="7305D9F1" w14:textId="41ADC5F1" w:rsidR="00467FBA" w:rsidRPr="00F33A7E" w:rsidRDefault="00D0498F" w:rsidP="00D0498F">
      <w:pPr>
        <w:rPr>
          <w:i/>
          <w:iCs/>
          <w:sz w:val="28"/>
          <w:szCs w:val="28"/>
        </w:rPr>
      </w:pPr>
      <w:r w:rsidRPr="00F33A7E">
        <w:rPr>
          <w:i/>
          <w:iCs/>
          <w:sz w:val="28"/>
          <w:szCs w:val="28"/>
        </w:rPr>
        <w:t>The institution conducts systematic review and assessment to ensure the quality of its academic, learning support, and student services programs and implement improvements and innovations in support of equitable student achievement.</w:t>
      </w:r>
    </w:p>
    <w:p w14:paraId="218B2AED" w14:textId="77777777" w:rsidR="00F33A7E" w:rsidRPr="00F33A7E" w:rsidRDefault="00F33A7E" w:rsidP="00F33A7E">
      <w:r w:rsidRPr="00F33A7E">
        <w:rPr>
          <w:b/>
          <w:bCs/>
        </w:rPr>
        <w:t>Review Criteria:</w:t>
      </w:r>
      <w:r w:rsidRPr="00F33A7E">
        <w:rPr>
          <w:i/>
          <w:iCs/>
        </w:rPr>
        <w:t xml:space="preserve"> </w:t>
      </w:r>
    </w:p>
    <w:p w14:paraId="72FA7A9F" w14:textId="77777777" w:rsidR="00F33A7E" w:rsidRPr="00F33A7E" w:rsidRDefault="00F33A7E" w:rsidP="00F33A7E">
      <w:pPr>
        <w:rPr>
          <w:i/>
          <w:iCs/>
          <w:sz w:val="24"/>
          <w:szCs w:val="24"/>
        </w:rPr>
      </w:pPr>
      <w:r w:rsidRPr="00F33A7E">
        <w:t xml:space="preserve">• </w:t>
      </w:r>
      <w:r w:rsidRPr="00F33A7E">
        <w:rPr>
          <w:i/>
          <w:iCs/>
          <w:sz w:val="24"/>
          <w:szCs w:val="24"/>
        </w:rPr>
        <w:t xml:space="preserve">The institution follows established processes that include analysis of data related to student learning (i.e., outcomes assessment results) and achievement (e.g., course completions and degree/certificate completions), disaggregated for student subpopulations and/or learning modalities as appropriate. </w:t>
      </w:r>
    </w:p>
    <w:p w14:paraId="0E3F0C44" w14:textId="77777777" w:rsidR="00F33A7E" w:rsidRPr="00F33A7E" w:rsidRDefault="00F33A7E" w:rsidP="00F33A7E">
      <w:pPr>
        <w:rPr>
          <w:i/>
          <w:iCs/>
          <w:sz w:val="24"/>
          <w:szCs w:val="24"/>
        </w:rPr>
      </w:pPr>
      <w:r w:rsidRPr="00F33A7E">
        <w:rPr>
          <w:i/>
          <w:iCs/>
          <w:sz w:val="24"/>
          <w:szCs w:val="24"/>
        </w:rPr>
        <w:t xml:space="preserve">• Faculty and other educators engage in dialogue about learning and achievement data, disaggregated for student subpopulations and/or learning modalities as appropriate, in order to guide program improvement and curriculum development, address achievement gaps, and inform institutional goal-setting. </w:t>
      </w:r>
    </w:p>
    <w:p w14:paraId="23C652C3" w14:textId="77777777" w:rsidR="00F33A7E" w:rsidRPr="00F33A7E" w:rsidRDefault="00F33A7E" w:rsidP="00F33A7E">
      <w:pPr>
        <w:rPr>
          <w:i/>
          <w:iCs/>
          <w:sz w:val="24"/>
          <w:szCs w:val="24"/>
        </w:rPr>
      </w:pPr>
      <w:r w:rsidRPr="00F33A7E">
        <w:rPr>
          <w:i/>
          <w:iCs/>
          <w:sz w:val="24"/>
          <w:szCs w:val="24"/>
        </w:rPr>
        <w:t xml:space="preserve">• The institution’s dialogue about disaggregated learning and achievement data informs institutional goal-setting. </w:t>
      </w:r>
    </w:p>
    <w:p w14:paraId="4E81E260" w14:textId="6994427C" w:rsidR="00021AAF" w:rsidRPr="00CC697F" w:rsidRDefault="00574D37" w:rsidP="00D0498F">
      <w:pPr>
        <w:rPr>
          <w:b/>
          <w:bCs/>
          <w:sz w:val="28"/>
          <w:szCs w:val="28"/>
        </w:rPr>
      </w:pPr>
      <w:r w:rsidRPr="00CC697F">
        <w:rPr>
          <w:b/>
          <w:bCs/>
          <w:i/>
          <w:iCs/>
          <w:sz w:val="28"/>
          <w:szCs w:val="28"/>
        </w:rPr>
        <w:t xml:space="preserve">2024 </w:t>
      </w:r>
      <w:r w:rsidRPr="00CC697F">
        <w:rPr>
          <w:b/>
          <w:bCs/>
          <w:sz w:val="28"/>
          <w:szCs w:val="28"/>
        </w:rPr>
        <w:t>Midterm Report Section Requirement Prompt</w:t>
      </w:r>
    </w:p>
    <w:p w14:paraId="4C74F25C" w14:textId="77777777" w:rsidR="00A36925" w:rsidRPr="00A36925" w:rsidRDefault="00A36925" w:rsidP="00A36925">
      <w:pPr>
        <w:rPr>
          <w:sz w:val="28"/>
          <w:szCs w:val="28"/>
        </w:rPr>
      </w:pPr>
      <w:r w:rsidRPr="00A36925">
        <w:rPr>
          <w:b/>
          <w:bCs/>
          <w:sz w:val="28"/>
          <w:szCs w:val="28"/>
        </w:rPr>
        <w:t xml:space="preserve">C.2 </w:t>
      </w:r>
    </w:p>
    <w:p w14:paraId="3D8293C8" w14:textId="77777777" w:rsidR="00A36925" w:rsidRPr="00A36925" w:rsidRDefault="00A36925" w:rsidP="00A36925">
      <w:pPr>
        <w:rPr>
          <w:sz w:val="24"/>
          <w:szCs w:val="24"/>
        </w:rPr>
      </w:pPr>
      <w:r w:rsidRPr="00A36925">
        <w:rPr>
          <w:i/>
          <w:iCs/>
          <w:sz w:val="24"/>
          <w:szCs w:val="24"/>
        </w:rPr>
        <w:t>How (i.e., for what subpopulations, modalities, etc.) does your institution disaggregate its assessment results? When you review disaggregated assessment results, what patterns or trends do you see related to equitable attainment of student learning? What patterns or trends excite you? What patterns or trends concern you?</w:t>
      </w:r>
    </w:p>
    <w:p w14:paraId="6DB29DF8" w14:textId="77777777" w:rsidR="00A36925" w:rsidRDefault="00A36925" w:rsidP="00D0498F"/>
    <w:sectPr w:rsidR="00A36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C1DA2"/>
    <w:multiLevelType w:val="hybridMultilevel"/>
    <w:tmpl w:val="958C86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177CBE"/>
    <w:multiLevelType w:val="hybridMultilevel"/>
    <w:tmpl w:val="14B0EE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913E42"/>
    <w:multiLevelType w:val="hybridMultilevel"/>
    <w:tmpl w:val="F732E4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6F2314"/>
    <w:multiLevelType w:val="hybridMultilevel"/>
    <w:tmpl w:val="63680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B7"/>
    <w:rsid w:val="00021AAF"/>
    <w:rsid w:val="00024DF2"/>
    <w:rsid w:val="000B58B1"/>
    <w:rsid w:val="000F5018"/>
    <w:rsid w:val="00187188"/>
    <w:rsid w:val="002A00AD"/>
    <w:rsid w:val="003849B1"/>
    <w:rsid w:val="003F3E17"/>
    <w:rsid w:val="003F7AF8"/>
    <w:rsid w:val="00467FBA"/>
    <w:rsid w:val="004C37EE"/>
    <w:rsid w:val="00574D37"/>
    <w:rsid w:val="006A3B31"/>
    <w:rsid w:val="00752BB7"/>
    <w:rsid w:val="007928C4"/>
    <w:rsid w:val="0083379D"/>
    <w:rsid w:val="00922919"/>
    <w:rsid w:val="00A36925"/>
    <w:rsid w:val="00B342FB"/>
    <w:rsid w:val="00B554A9"/>
    <w:rsid w:val="00B958E3"/>
    <w:rsid w:val="00BB5B40"/>
    <w:rsid w:val="00BE4760"/>
    <w:rsid w:val="00CC697F"/>
    <w:rsid w:val="00D0498F"/>
    <w:rsid w:val="00EB6F2A"/>
    <w:rsid w:val="00F33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D0E5"/>
  <w15:chartTrackingRefBased/>
  <w15:docId w15:val="{1860C495-0730-4171-80FD-EAD0CF85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B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B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B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B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B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B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B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B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B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B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B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B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B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B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B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B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B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BB7"/>
    <w:rPr>
      <w:rFonts w:eastAsiaTheme="majorEastAsia" w:cstheme="majorBidi"/>
      <w:color w:val="272727" w:themeColor="text1" w:themeTint="D8"/>
    </w:rPr>
  </w:style>
  <w:style w:type="paragraph" w:styleId="Title">
    <w:name w:val="Title"/>
    <w:basedOn w:val="Normal"/>
    <w:next w:val="Normal"/>
    <w:link w:val="TitleChar"/>
    <w:uiPriority w:val="10"/>
    <w:qFormat/>
    <w:rsid w:val="00752B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B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B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B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BB7"/>
    <w:pPr>
      <w:spacing w:before="160"/>
      <w:jc w:val="center"/>
    </w:pPr>
    <w:rPr>
      <w:i/>
      <w:iCs/>
      <w:color w:val="404040" w:themeColor="text1" w:themeTint="BF"/>
    </w:rPr>
  </w:style>
  <w:style w:type="character" w:customStyle="1" w:styleId="QuoteChar">
    <w:name w:val="Quote Char"/>
    <w:basedOn w:val="DefaultParagraphFont"/>
    <w:link w:val="Quote"/>
    <w:uiPriority w:val="29"/>
    <w:rsid w:val="00752BB7"/>
    <w:rPr>
      <w:i/>
      <w:iCs/>
      <w:color w:val="404040" w:themeColor="text1" w:themeTint="BF"/>
    </w:rPr>
  </w:style>
  <w:style w:type="paragraph" w:styleId="ListParagraph">
    <w:name w:val="List Paragraph"/>
    <w:basedOn w:val="Normal"/>
    <w:uiPriority w:val="34"/>
    <w:qFormat/>
    <w:rsid w:val="00752BB7"/>
    <w:pPr>
      <w:ind w:left="720"/>
      <w:contextualSpacing/>
    </w:pPr>
  </w:style>
  <w:style w:type="character" w:styleId="IntenseEmphasis">
    <w:name w:val="Intense Emphasis"/>
    <w:basedOn w:val="DefaultParagraphFont"/>
    <w:uiPriority w:val="21"/>
    <w:qFormat/>
    <w:rsid w:val="00752BB7"/>
    <w:rPr>
      <w:i/>
      <w:iCs/>
      <w:color w:val="0F4761" w:themeColor="accent1" w:themeShade="BF"/>
    </w:rPr>
  </w:style>
  <w:style w:type="paragraph" w:styleId="IntenseQuote">
    <w:name w:val="Intense Quote"/>
    <w:basedOn w:val="Normal"/>
    <w:next w:val="Normal"/>
    <w:link w:val="IntenseQuoteChar"/>
    <w:uiPriority w:val="30"/>
    <w:qFormat/>
    <w:rsid w:val="00752B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BB7"/>
    <w:rPr>
      <w:i/>
      <w:iCs/>
      <w:color w:val="0F4761" w:themeColor="accent1" w:themeShade="BF"/>
    </w:rPr>
  </w:style>
  <w:style w:type="character" w:styleId="IntenseReference">
    <w:name w:val="Intense Reference"/>
    <w:basedOn w:val="DefaultParagraphFont"/>
    <w:uiPriority w:val="32"/>
    <w:qFormat/>
    <w:rsid w:val="00752BB7"/>
    <w:rPr>
      <w:b/>
      <w:bCs/>
      <w:smallCaps/>
      <w:color w:val="0F4761" w:themeColor="accent1" w:themeShade="BF"/>
      <w:spacing w:val="5"/>
    </w:rPr>
  </w:style>
  <w:style w:type="character" w:styleId="Hyperlink">
    <w:name w:val="Hyperlink"/>
    <w:basedOn w:val="DefaultParagraphFont"/>
    <w:uiPriority w:val="99"/>
    <w:unhideWhenUsed/>
    <w:rsid w:val="000B58B1"/>
    <w:rPr>
      <w:color w:val="467886" w:themeColor="hyperlink"/>
      <w:u w:val="single"/>
    </w:rPr>
  </w:style>
  <w:style w:type="character" w:styleId="UnresolvedMention">
    <w:name w:val="Unresolved Mention"/>
    <w:basedOn w:val="DefaultParagraphFont"/>
    <w:uiPriority w:val="99"/>
    <w:semiHidden/>
    <w:unhideWhenUsed/>
    <w:rsid w:val="000B5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033203">
      <w:bodyDiv w:val="1"/>
      <w:marLeft w:val="0"/>
      <w:marRight w:val="0"/>
      <w:marTop w:val="0"/>
      <w:marBottom w:val="0"/>
      <w:divBdr>
        <w:top w:val="none" w:sz="0" w:space="0" w:color="auto"/>
        <w:left w:val="none" w:sz="0" w:space="0" w:color="auto"/>
        <w:bottom w:val="none" w:sz="0" w:space="0" w:color="auto"/>
        <w:right w:val="none" w:sz="0" w:space="0" w:color="auto"/>
      </w:divBdr>
    </w:div>
    <w:div w:id="1216432729">
      <w:bodyDiv w:val="1"/>
      <w:marLeft w:val="0"/>
      <w:marRight w:val="0"/>
      <w:marTop w:val="0"/>
      <w:marBottom w:val="0"/>
      <w:divBdr>
        <w:top w:val="none" w:sz="0" w:space="0" w:color="auto"/>
        <w:left w:val="none" w:sz="0" w:space="0" w:color="auto"/>
        <w:bottom w:val="none" w:sz="0" w:space="0" w:color="auto"/>
        <w:right w:val="none" w:sz="0" w:space="0" w:color="auto"/>
      </w:divBdr>
    </w:div>
    <w:div w:id="1439907523">
      <w:bodyDiv w:val="1"/>
      <w:marLeft w:val="0"/>
      <w:marRight w:val="0"/>
      <w:marTop w:val="0"/>
      <w:marBottom w:val="0"/>
      <w:divBdr>
        <w:top w:val="none" w:sz="0" w:space="0" w:color="auto"/>
        <w:left w:val="none" w:sz="0" w:space="0" w:color="auto"/>
        <w:bottom w:val="none" w:sz="0" w:space="0" w:color="auto"/>
        <w:right w:val="none" w:sz="0" w:space="0" w:color="auto"/>
      </w:divBdr>
    </w:div>
    <w:div w:id="1483112290">
      <w:bodyDiv w:val="1"/>
      <w:marLeft w:val="0"/>
      <w:marRight w:val="0"/>
      <w:marTop w:val="0"/>
      <w:marBottom w:val="0"/>
      <w:divBdr>
        <w:top w:val="none" w:sz="0" w:space="0" w:color="auto"/>
        <w:left w:val="none" w:sz="0" w:space="0" w:color="auto"/>
        <w:bottom w:val="none" w:sz="0" w:space="0" w:color="auto"/>
        <w:right w:val="none" w:sz="0" w:space="0" w:color="auto"/>
      </w:divBdr>
    </w:div>
    <w:div w:id="1624649450">
      <w:bodyDiv w:val="1"/>
      <w:marLeft w:val="0"/>
      <w:marRight w:val="0"/>
      <w:marTop w:val="0"/>
      <w:marBottom w:val="0"/>
      <w:divBdr>
        <w:top w:val="none" w:sz="0" w:space="0" w:color="auto"/>
        <w:left w:val="none" w:sz="0" w:space="0" w:color="auto"/>
        <w:bottom w:val="none" w:sz="0" w:space="0" w:color="auto"/>
        <w:right w:val="none" w:sz="0" w:space="0" w:color="auto"/>
      </w:divBdr>
    </w:div>
    <w:div w:id="203122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osmedanos.edu/accreditation/LosMedanos_PRTR2020_FIN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Pedersen, Ryan</dc:creator>
  <cp:keywords/>
  <dc:description/>
  <cp:lastModifiedBy>Duldulao, Abigail</cp:lastModifiedBy>
  <cp:revision>3</cp:revision>
  <dcterms:created xsi:type="dcterms:W3CDTF">2024-04-03T01:24:00Z</dcterms:created>
  <dcterms:modified xsi:type="dcterms:W3CDTF">2024-04-17T23:38:00Z</dcterms:modified>
</cp:coreProperties>
</file>