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44FA" w14:textId="1A2066F2" w:rsidR="00E20ACC" w:rsidRPr="00110C7E" w:rsidRDefault="00110C7E" w:rsidP="00110C7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110C7E">
        <w:rPr>
          <w:rFonts w:ascii="Times New Roman" w:hAnsi="Times New Roman" w:cs="Times New Roman"/>
          <w:b/>
          <w:bCs/>
          <w:u w:val="single"/>
        </w:rPr>
        <w:t>CalGETC Certificate Information</w:t>
      </w:r>
    </w:p>
    <w:p w14:paraId="1AA6FBB2" w14:textId="77777777" w:rsidR="00110C7E" w:rsidRPr="00110C7E" w:rsidRDefault="00110C7E" w:rsidP="00110C7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496930FE" w14:textId="1CDE9B67" w:rsidR="00110C7E" w:rsidRDefault="00110C7E" w:rsidP="00110C7E">
      <w:pPr>
        <w:spacing w:line="240" w:lineRule="auto"/>
        <w:contextualSpacing/>
        <w:rPr>
          <w:rFonts w:ascii="Times New Roman" w:hAnsi="Times New Roman" w:cs="Times New Roman"/>
        </w:rPr>
      </w:pPr>
      <w:r w:rsidRPr="00110C7E">
        <w:rPr>
          <w:rFonts w:ascii="Times New Roman" w:hAnsi="Times New Roman" w:cs="Times New Roman"/>
        </w:rPr>
        <w:t>Maintenance of this certificate would entail:</w:t>
      </w:r>
    </w:p>
    <w:p w14:paraId="79B44124" w14:textId="77777777" w:rsidR="00110C7E" w:rsidRDefault="00110C7E" w:rsidP="00110C7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10C7E">
        <w:rPr>
          <w:rFonts w:ascii="Times New Roman" w:hAnsi="Times New Roman" w:cs="Times New Roman"/>
        </w:rPr>
        <w:t>Spring 2025: Working with the Office of Instruction to draft the COA (a very short process) and submit to Curriculum Committee</w:t>
      </w:r>
      <w:r>
        <w:rPr>
          <w:rFonts w:ascii="Times New Roman" w:hAnsi="Times New Roman" w:cs="Times New Roman"/>
        </w:rPr>
        <w:t>.</w:t>
      </w:r>
    </w:p>
    <w:p w14:paraId="3E749616" w14:textId="504ECA50" w:rsidR="00110C7E" w:rsidRPr="00110C7E" w:rsidRDefault="00110C7E" w:rsidP="00110C7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10C7E">
        <w:rPr>
          <w:rFonts w:ascii="Times New Roman" w:hAnsi="Times New Roman" w:cs="Times New Roman"/>
        </w:rPr>
        <w:t>Ongoing: Working with the Office of Instruction to update the COA when classes are added/removed from Cal GETC (again, a very short process).</w:t>
      </w:r>
    </w:p>
    <w:p w14:paraId="4BB1E374" w14:textId="220D3346" w:rsidR="00110C7E" w:rsidRDefault="00110C7E" w:rsidP="00110C7E">
      <w:pPr>
        <w:spacing w:line="240" w:lineRule="auto"/>
        <w:contextualSpacing/>
        <w:rPr>
          <w:rFonts w:ascii="Times New Roman" w:hAnsi="Times New Roman" w:cs="Times New Roman"/>
        </w:rPr>
      </w:pPr>
      <w:r w:rsidRPr="00110C7E">
        <w:rPr>
          <w:rFonts w:ascii="Times New Roman" w:hAnsi="Times New Roman" w:cs="Times New Roman"/>
        </w:rPr>
        <w:t>Additionally, there are no PSLOs associated with this COA</w:t>
      </w:r>
      <w:r>
        <w:rPr>
          <w:rFonts w:ascii="Times New Roman" w:hAnsi="Times New Roman" w:cs="Times New Roman"/>
        </w:rPr>
        <w:t>.</w:t>
      </w:r>
      <w:r w:rsidR="000B4AD8">
        <w:rPr>
          <w:rFonts w:ascii="Times New Roman" w:hAnsi="Times New Roman" w:cs="Times New Roman"/>
        </w:rPr>
        <w:t xml:space="preserve"> It is undetermined if a program review of the certificate will need to be completed for accreditation purposes. </w:t>
      </w:r>
    </w:p>
    <w:p w14:paraId="6E3E343E" w14:textId="77777777" w:rsidR="000B4AD8" w:rsidRDefault="000B4AD8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0387A039" w14:textId="7EADBB71" w:rsidR="000B4AD8" w:rsidRDefault="000B4AD8" w:rsidP="00110C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certificate program will replace what we currently have under “Transfer Studies,” a CSU GE certificate and a IGETC certificate: </w:t>
      </w:r>
      <w:hyperlink r:id="rId5" w:anchor="degree" w:history="1">
        <w:r w:rsidRPr="000B4AD8">
          <w:rPr>
            <w:rStyle w:val="Hyperlink"/>
            <w:rFonts w:ascii="Times New Roman" w:hAnsi="Times New Roman" w:cs="Times New Roman"/>
          </w:rPr>
          <w:t>Los Medanos College - Degrees and Certificates</w:t>
        </w:r>
      </w:hyperlink>
    </w:p>
    <w:p w14:paraId="526BF17B" w14:textId="77777777" w:rsidR="000B4AD8" w:rsidRDefault="000B4AD8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51EC5B11" w14:textId="178C0B8A" w:rsidR="000B4AD8" w:rsidRDefault="000B4AD8" w:rsidP="00110C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current certificate programs for completing general education requirements are very popular with our students. </w:t>
      </w:r>
      <w:r w:rsidR="00E90A56">
        <w:rPr>
          <w:rFonts w:ascii="Times New Roman" w:hAnsi="Times New Roman" w:cs="Times New Roman"/>
        </w:rPr>
        <w:t xml:space="preserve">We have information about the total number of certificates granted, among other data, available on the </w:t>
      </w:r>
      <w:r w:rsidR="00D43632">
        <w:rPr>
          <w:rFonts w:ascii="Times New Roman" w:hAnsi="Times New Roman" w:cs="Times New Roman"/>
        </w:rPr>
        <w:t xml:space="preserve">Tableau site here: </w:t>
      </w:r>
      <w:hyperlink r:id="rId6" w:anchor="/site/contracostacommunitycollegedistrict/views/AwardsDashboard/TopAwards?:iid=1" w:history="1">
        <w:r w:rsidR="006D77DA" w:rsidRPr="006D77DA">
          <w:rPr>
            <w:rStyle w:val="Hyperlink"/>
            <w:rFonts w:ascii="Times New Roman" w:hAnsi="Times New Roman" w:cs="Times New Roman"/>
          </w:rPr>
          <w:t>Awards Dashboard: Top Awards - Tableau Cloud</w:t>
        </w:r>
      </w:hyperlink>
      <w:r w:rsidR="006D77DA">
        <w:rPr>
          <w:rFonts w:ascii="Times New Roman" w:hAnsi="Times New Roman" w:cs="Times New Roman"/>
        </w:rPr>
        <w:t>.</w:t>
      </w:r>
    </w:p>
    <w:p w14:paraId="0090146B" w14:textId="77777777" w:rsidR="006D77DA" w:rsidRDefault="006D77DA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72ACBB24" w14:textId="08516611" w:rsidR="006D77DA" w:rsidRDefault="006D77DA" w:rsidP="00110C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CSU GE certificates, </w:t>
      </w:r>
      <w:r w:rsidR="001D4EAD">
        <w:rPr>
          <w:rFonts w:ascii="Times New Roman" w:hAnsi="Times New Roman" w:cs="Times New Roman"/>
        </w:rPr>
        <w:t>the numbers are as follows:</w:t>
      </w:r>
    </w:p>
    <w:p w14:paraId="6CBC9749" w14:textId="77777777" w:rsidR="001D4EAD" w:rsidRDefault="001D4EAD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21AD" w14:paraId="0B931C7F" w14:textId="77777777" w:rsidTr="009E2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A6BC2E2" w14:textId="35710F70" w:rsidR="009E21AD" w:rsidRPr="00AF44C1" w:rsidRDefault="00AF44C1" w:rsidP="009E21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117" w:type="dxa"/>
          </w:tcPr>
          <w:p w14:paraId="631FFC37" w14:textId="7C8F5251" w:rsidR="009E21AD" w:rsidRPr="00AF44C1" w:rsidRDefault="00AF44C1" w:rsidP="009E2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117" w:type="dxa"/>
          </w:tcPr>
          <w:p w14:paraId="5D1BB8F3" w14:textId="4791AB54" w:rsidR="009E21AD" w:rsidRPr="00AF44C1" w:rsidRDefault="00AF44C1" w:rsidP="009E21A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2023-2024</w:t>
            </w:r>
          </w:p>
        </w:tc>
      </w:tr>
      <w:tr w:rsidR="009E21AD" w14:paraId="47A28A09" w14:textId="77777777" w:rsidTr="009E2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B8DBED" w14:textId="4FA17B39" w:rsidR="009E21AD" w:rsidRDefault="00AF44C1" w:rsidP="009E21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117" w:type="dxa"/>
          </w:tcPr>
          <w:p w14:paraId="3FD9D7E2" w14:textId="4005C650" w:rsidR="009E21AD" w:rsidRDefault="008D0096" w:rsidP="009E21A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117" w:type="dxa"/>
          </w:tcPr>
          <w:p w14:paraId="233BC934" w14:textId="1D9F868A" w:rsidR="009E21AD" w:rsidRDefault="008D0096" w:rsidP="009E21A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</w:tr>
    </w:tbl>
    <w:p w14:paraId="44A0CE9C" w14:textId="77777777" w:rsidR="001D4EAD" w:rsidRDefault="001D4EAD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4557462E" w14:textId="704FD484" w:rsidR="008D0096" w:rsidRDefault="008D0096" w:rsidP="008D00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IGETC GE certificates, the numbers are as follows:</w:t>
      </w:r>
    </w:p>
    <w:p w14:paraId="402C3265" w14:textId="77777777" w:rsidR="008D0096" w:rsidRDefault="008D0096" w:rsidP="008D009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0096" w14:paraId="5F75E789" w14:textId="77777777" w:rsidTr="006F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9624CE" w14:textId="77777777" w:rsidR="008D0096" w:rsidRPr="00AF44C1" w:rsidRDefault="008D0096" w:rsidP="006F12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117" w:type="dxa"/>
          </w:tcPr>
          <w:p w14:paraId="6D0EE40D" w14:textId="77777777" w:rsidR="008D0096" w:rsidRPr="00AF44C1" w:rsidRDefault="008D0096" w:rsidP="006F12D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117" w:type="dxa"/>
          </w:tcPr>
          <w:p w14:paraId="6F4FB23E" w14:textId="77777777" w:rsidR="008D0096" w:rsidRPr="00AF44C1" w:rsidRDefault="008D0096" w:rsidP="006F12D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4C1">
              <w:rPr>
                <w:rFonts w:ascii="Times New Roman" w:hAnsi="Times New Roman" w:cs="Times New Roman"/>
              </w:rPr>
              <w:t>2023-2024</w:t>
            </w:r>
          </w:p>
        </w:tc>
      </w:tr>
      <w:tr w:rsidR="008D0096" w14:paraId="5E102FCF" w14:textId="77777777" w:rsidTr="006F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9406C14" w14:textId="0FE143DD" w:rsidR="008D0096" w:rsidRDefault="004F6F15" w:rsidP="006F12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7" w:type="dxa"/>
          </w:tcPr>
          <w:p w14:paraId="477F1807" w14:textId="7B8F1037" w:rsidR="008D0096" w:rsidRDefault="00610A8B" w:rsidP="006F12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7" w:type="dxa"/>
          </w:tcPr>
          <w:p w14:paraId="71C9996F" w14:textId="71F46FD9" w:rsidR="008D0096" w:rsidRDefault="00610A8B" w:rsidP="006F12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14:paraId="55DAC8D4" w14:textId="7D2223DF" w:rsidR="008D0096" w:rsidRDefault="008D0096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609A851F" w14:textId="4C904603" w:rsidR="000B4AD8" w:rsidRDefault="000B4AD8" w:rsidP="00110C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 for completion of Spring 2025 work:</w:t>
      </w:r>
      <w:r w:rsidR="00F724AF">
        <w:rPr>
          <w:rFonts w:ascii="Times New Roman" w:hAnsi="Times New Roman" w:cs="Times New Roman"/>
        </w:rPr>
        <w:t xml:space="preserve"> May 1</w:t>
      </w:r>
      <w:r w:rsidR="00F724AF" w:rsidRPr="00F724AF">
        <w:rPr>
          <w:rFonts w:ascii="Times New Roman" w:hAnsi="Times New Roman" w:cs="Times New Roman"/>
          <w:vertAlign w:val="superscript"/>
        </w:rPr>
        <w:t>st</w:t>
      </w:r>
      <w:r w:rsidR="00F724AF">
        <w:rPr>
          <w:rFonts w:ascii="Times New Roman" w:hAnsi="Times New Roman" w:cs="Times New Roman"/>
        </w:rPr>
        <w:t>, 2025</w:t>
      </w:r>
    </w:p>
    <w:p w14:paraId="37E55B8A" w14:textId="77777777" w:rsidR="00F724AF" w:rsidRDefault="00F724AF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0A29BD1A" w14:textId="6829AE67" w:rsidR="00F724AF" w:rsidRDefault="00F724AF" w:rsidP="00110C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Compensation: There might be OAS compensation available for the department who opts to take on this work through AB 928 funding. This is yet to be confirmed by the VPI.</w:t>
      </w:r>
    </w:p>
    <w:p w14:paraId="52F10691" w14:textId="77777777" w:rsidR="00110C7E" w:rsidRDefault="00110C7E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p w14:paraId="26846EE6" w14:textId="7A7091D0" w:rsidR="00110C7E" w:rsidRPr="00110C7E" w:rsidRDefault="00110C7E" w:rsidP="00110C7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110C7E" w:rsidRPr="0011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E07"/>
    <w:multiLevelType w:val="hybridMultilevel"/>
    <w:tmpl w:val="57B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915"/>
    <w:multiLevelType w:val="multilevel"/>
    <w:tmpl w:val="C44E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E30A2"/>
    <w:multiLevelType w:val="hybridMultilevel"/>
    <w:tmpl w:val="E68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2447">
    <w:abstractNumId w:val="1"/>
  </w:num>
  <w:num w:numId="2" w16cid:durableId="1041829684">
    <w:abstractNumId w:val="2"/>
  </w:num>
  <w:num w:numId="3" w16cid:durableId="6504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E"/>
    <w:rsid w:val="00074C83"/>
    <w:rsid w:val="000B4AD8"/>
    <w:rsid w:val="00110C7E"/>
    <w:rsid w:val="001D4EAD"/>
    <w:rsid w:val="00456EBE"/>
    <w:rsid w:val="00487F16"/>
    <w:rsid w:val="004F6F15"/>
    <w:rsid w:val="00610A8B"/>
    <w:rsid w:val="006D77DA"/>
    <w:rsid w:val="008D0096"/>
    <w:rsid w:val="00920636"/>
    <w:rsid w:val="009E21AD"/>
    <w:rsid w:val="00AF44C1"/>
    <w:rsid w:val="00C55148"/>
    <w:rsid w:val="00D43632"/>
    <w:rsid w:val="00E20ACC"/>
    <w:rsid w:val="00E90A56"/>
    <w:rsid w:val="00F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4D26"/>
  <w15:chartTrackingRefBased/>
  <w15:docId w15:val="{32564EA6-4536-48EA-95ED-32402AA0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C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A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E21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21AD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-west-2b.online.tableau.com/" TargetMode="External"/><Relationship Id="rId5" Type="http://schemas.openxmlformats.org/officeDocument/2006/relationships/hyperlink" Target="https://www.losmedanos.edu/degrees/degree4cat25-25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Adrianna</dc:creator>
  <cp:keywords/>
  <dc:description/>
  <cp:lastModifiedBy>Duldulao, Abigail</cp:lastModifiedBy>
  <cp:revision>2</cp:revision>
  <dcterms:created xsi:type="dcterms:W3CDTF">2025-02-21T00:08:00Z</dcterms:created>
  <dcterms:modified xsi:type="dcterms:W3CDTF">2025-02-21T00:08:00Z</dcterms:modified>
</cp:coreProperties>
</file>