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CC5943" w:rsidRPr="00CC5943" w:rsidRDefault="00623A97" w:rsidP="00CC5943">
      <w:pPr>
        <w:jc w:val="center"/>
        <w:rPr>
          <w:color w:val="7030A0"/>
          <w:sz w:val="40"/>
          <w:szCs w:val="32"/>
        </w:rPr>
      </w:pPr>
      <w:r>
        <w:rPr>
          <w:sz w:val="40"/>
          <w:szCs w:val="32"/>
        </w:rPr>
        <w:t xml:space="preserve">Name: </w:t>
      </w:r>
      <w:r w:rsidR="00CC5943">
        <w:rPr>
          <w:color w:val="7030A0"/>
          <w:sz w:val="40"/>
          <w:szCs w:val="32"/>
        </w:rPr>
        <w:t>President’s Office</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CC5943" w:rsidRDefault="006460FE" w:rsidP="00937AC4">
            <w:pPr>
              <w:rPr>
                <w:color w:val="7030A0"/>
              </w:rPr>
            </w:pPr>
            <w:r w:rsidRPr="00347FBE">
              <w:rPr>
                <w:color w:val="7030A0"/>
              </w:rPr>
              <w:t xml:space="preserve">Goal 1: </w:t>
            </w:r>
            <w:r w:rsidR="00CC5943" w:rsidRPr="00CC5943">
              <w:rPr>
                <w:color w:val="7030A0"/>
              </w:rPr>
              <w:t xml:space="preserve">Communication, Campus Climate &amp; Community Engagement </w:t>
            </w:r>
          </w:p>
          <w:p w:rsidR="006460FE" w:rsidRDefault="00CC5943" w:rsidP="00937AC4">
            <w:pPr>
              <w:rPr>
                <w:color w:val="7030A0"/>
              </w:rPr>
            </w:pPr>
            <w:r w:rsidRPr="00CC5943">
              <w:rPr>
                <w:b w:val="0"/>
                <w:i/>
                <w:color w:val="7030A0"/>
              </w:rPr>
              <w:t>The President’s Office will respond to the need for better communication within the College, enhanced efforts to link the community with the College, and to ensure a safe and pleasing environment for students and employees.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CC5943" w:rsidRDefault="006460FE" w:rsidP="00937AC4">
            <w:pPr>
              <w:rPr>
                <w:color w:val="7030A0"/>
              </w:rPr>
            </w:pPr>
            <w:r w:rsidRPr="00347FBE">
              <w:rPr>
                <w:color w:val="7030A0"/>
              </w:rPr>
              <w:t>Goal 2:</w:t>
            </w:r>
            <w:r w:rsidR="00CC5943">
              <w:rPr>
                <w:color w:val="7030A0"/>
              </w:rPr>
              <w:t xml:space="preserve"> </w:t>
            </w:r>
            <w:r w:rsidR="00CC5943" w:rsidRPr="00CC5943">
              <w:rPr>
                <w:color w:val="7030A0"/>
              </w:rPr>
              <w:t xml:space="preserve">Governance, Planning &amp; Institutional Effectiveness </w:t>
            </w:r>
          </w:p>
          <w:p w:rsidR="00D378BD" w:rsidRPr="00347FBE" w:rsidRDefault="00CC5943" w:rsidP="00937AC4">
            <w:pPr>
              <w:rPr>
                <w:color w:val="7030A0"/>
              </w:rPr>
            </w:pPr>
            <w:r w:rsidRPr="00CC5943">
              <w:rPr>
                <w:b w:val="0"/>
                <w:i/>
                <w:color w:val="7030A0"/>
              </w:rPr>
              <w:t>As key components of leadership for the College, the President’s Office will ensure that effective mechanisms are in place related to participatory governance, effective planning, and an environment of continuous improvement.</w:t>
            </w: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CC5943" w:rsidRDefault="006460FE" w:rsidP="00937AC4">
            <w:pPr>
              <w:rPr>
                <w:color w:val="7030A0"/>
              </w:rPr>
            </w:pPr>
            <w:r w:rsidRPr="00347FBE">
              <w:rPr>
                <w:color w:val="7030A0"/>
              </w:rPr>
              <w:t xml:space="preserve">Goal 3: </w:t>
            </w:r>
            <w:r w:rsidR="00CC5943" w:rsidRPr="00CC5943">
              <w:rPr>
                <w:color w:val="7030A0"/>
              </w:rPr>
              <w:t xml:space="preserve">Student Success &amp; Engagement </w:t>
            </w:r>
          </w:p>
          <w:p w:rsidR="006460FE" w:rsidRPr="00CC5943" w:rsidRDefault="00CC5943" w:rsidP="00937AC4">
            <w:pPr>
              <w:rPr>
                <w:b w:val="0"/>
                <w:i/>
                <w:color w:val="7030A0"/>
              </w:rPr>
            </w:pPr>
            <w:r w:rsidRPr="00CC5943">
              <w:rPr>
                <w:b w:val="0"/>
                <w:i/>
                <w:color w:val="7030A0"/>
              </w:rPr>
              <w:t>The President’s Office will: direct efforts and resources toward activities that increase student success rates and improve student outcomes; reinforce the importance of completion to students, employees, and the community; and promote the enhancement of student engagement.</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CC5943" w:rsidRDefault="006460FE" w:rsidP="00CC5943">
            <w:pPr>
              <w:rPr>
                <w:color w:val="7030A0"/>
              </w:rPr>
            </w:pPr>
            <w:r w:rsidRPr="00347FBE">
              <w:rPr>
                <w:color w:val="7030A0"/>
              </w:rPr>
              <w:lastRenderedPageBreak/>
              <w:t xml:space="preserve">Goal 4: </w:t>
            </w:r>
            <w:r w:rsidR="00CC5943" w:rsidRPr="00CC5943">
              <w:rPr>
                <w:color w:val="7030A0"/>
              </w:rPr>
              <w:t>Resource Development &amp; Allocation</w:t>
            </w:r>
          </w:p>
          <w:p w:rsidR="00D378BD" w:rsidRPr="00347FBE" w:rsidRDefault="00CC5943" w:rsidP="00CC5943">
            <w:pPr>
              <w:rPr>
                <w:color w:val="7030A0"/>
              </w:rPr>
            </w:pPr>
            <w:r w:rsidRPr="00CC5943">
              <w:rPr>
                <w:b w:val="0"/>
                <w:i/>
                <w:color w:val="7030A0"/>
              </w:rPr>
              <w:t>The President’s Office will provide appropriate leadership and stewardship in formulating a comprehensive and stable resource development and allocation strategy for the College.</w:t>
            </w: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CC5943"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CC5943" w:rsidRDefault="00CC5943" w:rsidP="00937AC4">
            <w:pPr>
              <w:rPr>
                <w:color w:val="7030A0"/>
              </w:rPr>
            </w:pPr>
            <w:r>
              <w:rPr>
                <w:color w:val="7030A0"/>
              </w:rPr>
              <w:t xml:space="preserve">Goal 5: </w:t>
            </w:r>
            <w:r w:rsidRPr="00CC5943">
              <w:rPr>
                <w:color w:val="7030A0"/>
              </w:rPr>
              <w:t xml:space="preserve">Unit Assessment: Service and Support, Sustainable Operations &amp; Continuous Improvement </w:t>
            </w:r>
          </w:p>
          <w:p w:rsidR="00CC5943" w:rsidRPr="00CC5943" w:rsidRDefault="00CC5943" w:rsidP="00937AC4">
            <w:pPr>
              <w:rPr>
                <w:b w:val="0"/>
                <w:i/>
                <w:color w:val="7030A0"/>
              </w:rPr>
            </w:pPr>
            <w:r w:rsidRPr="00CC5943">
              <w:rPr>
                <w:b w:val="0"/>
                <w:i/>
                <w:color w:val="7030A0"/>
              </w:rPr>
              <w:t xml:space="preserve">With a focus on continuous improvement and meeting </w:t>
            </w:r>
            <w:bookmarkStart w:id="0" w:name="_GoBack"/>
            <w:bookmarkEnd w:id="0"/>
            <w:r w:rsidRPr="00CC5943">
              <w:rPr>
                <w:b w:val="0"/>
                <w:i/>
                <w:color w:val="7030A0"/>
              </w:rPr>
              <w:t>institutional needs, the President’s Office will conduct an informal “self-evaluation” to determine opportunities for enhancing/streamlining operations.</w:t>
            </w:r>
          </w:p>
        </w:tc>
        <w:tc>
          <w:tcPr>
            <w:tcW w:w="1372" w:type="dxa"/>
          </w:tcPr>
          <w:p w:rsidR="00CC5943" w:rsidRPr="00A5779F" w:rsidRDefault="00CC5943"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CC5943" w:rsidRPr="00A5779F" w:rsidRDefault="00CC5943"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CC5943" w:rsidRPr="00A5779F" w:rsidRDefault="00CC5943"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proofErr w:type="gramStart"/>
      <w:r w:rsidR="00C55E8E">
        <w:rPr>
          <w:rFonts w:cs="ArialMT"/>
          <w:szCs w:val="13"/>
        </w:rPr>
        <w:t>The</w:t>
      </w:r>
      <w:proofErr w:type="gramEnd"/>
      <w:r w:rsidR="00C55E8E">
        <w:rPr>
          <w:rFonts w:cs="ArialMT"/>
          <w:szCs w:val="13"/>
        </w:rPr>
        <w:t xml:space="preserv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w:t>
      </w:r>
      <w:proofErr w:type="gramStart"/>
      <w:r>
        <w:rPr>
          <w:rFonts w:cs="ArialMT"/>
          <w:szCs w:val="13"/>
        </w:rPr>
        <w:t>The</w:t>
      </w:r>
      <w:proofErr w:type="gramEnd"/>
      <w:r>
        <w:rPr>
          <w:rFonts w:cs="ArialMT"/>
          <w:szCs w:val="13"/>
        </w:rPr>
        <w:t xml:space="preserv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CC5943">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CC5943">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C5943"/>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602E-52FF-45C4-BB14-50CAF883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2019-09-30T07:04:00Z</dcterms:created>
  <dcterms:modified xsi:type="dcterms:W3CDTF">2019-09-30T07:04:00Z</dcterms:modified>
</cp:coreProperties>
</file>