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535"/>
        <w:gridCol w:w="1646"/>
        <w:gridCol w:w="11134"/>
      </w:tblGrid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1646" w:type="dxa"/>
            <w:vAlign w:val="center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Call to Order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Meeting called to order 2:03pm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343459">
              <w:rPr>
                <w:rFonts w:ascii="Times New Roman" w:eastAsia="Times New Roman" w:hAnsi="Times New Roman" w:cs="Times New Roman"/>
              </w:rPr>
              <w:t xml:space="preserve">Public Comment </w:t>
            </w:r>
          </w:p>
        </w:tc>
        <w:tc>
          <w:tcPr>
            <w:tcW w:w="11134" w:type="dxa"/>
          </w:tcPr>
          <w:p w:rsidR="001819FB" w:rsidRDefault="00EC78E8" w:rsidP="005C5769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1819FB">
              <w:rPr>
                <w:rFonts w:ascii="Times New Roman" w:eastAsia="Times New Roman" w:hAnsi="Times New Roman" w:cs="Times New Roman"/>
              </w:rPr>
              <w:t xml:space="preserve">The committee welcomed Professor Clark’s </w:t>
            </w:r>
            <w:r w:rsidR="00706E28">
              <w:rPr>
                <w:rFonts w:ascii="Times New Roman" w:eastAsia="Times New Roman" w:hAnsi="Times New Roman" w:cs="Times New Roman"/>
              </w:rPr>
              <w:t xml:space="preserve">(3) </w:t>
            </w:r>
            <w:r w:rsidRPr="001819FB">
              <w:rPr>
                <w:rFonts w:ascii="Times New Roman" w:eastAsia="Times New Roman" w:hAnsi="Times New Roman" w:cs="Times New Roman"/>
              </w:rPr>
              <w:t xml:space="preserve">POLSC </w:t>
            </w:r>
            <w:r w:rsidR="00706E28">
              <w:rPr>
                <w:rFonts w:ascii="Times New Roman" w:eastAsia="Times New Roman" w:hAnsi="Times New Roman" w:cs="Times New Roman"/>
              </w:rPr>
              <w:t>students.</w:t>
            </w:r>
          </w:p>
          <w:p w:rsidR="00EC78E8" w:rsidRPr="001819FB" w:rsidRDefault="00EC78E8" w:rsidP="005C5769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1819FB">
              <w:rPr>
                <w:rFonts w:ascii="Times New Roman" w:eastAsia="Times New Roman" w:hAnsi="Times New Roman" w:cs="Times New Roman"/>
              </w:rPr>
              <w:t xml:space="preserve">Tue discussed 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a </w:t>
            </w:r>
            <w:r w:rsidR="00706E28">
              <w:rPr>
                <w:rFonts w:ascii="Times New Roman" w:eastAsia="Times New Roman" w:hAnsi="Times New Roman" w:cs="Times New Roman"/>
              </w:rPr>
              <w:t>new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 state initiative regarding</w:t>
            </w:r>
            <w:r w:rsidR="00706E28">
              <w:rPr>
                <w:rFonts w:ascii="Times New Roman" w:eastAsia="Times New Roman" w:hAnsi="Times New Roman" w:cs="Times New Roman"/>
              </w:rPr>
              <w:t xml:space="preserve"> </w:t>
            </w:r>
            <w:r w:rsidR="00C45B15">
              <w:rPr>
                <w:rFonts w:ascii="Times New Roman" w:eastAsia="Times New Roman" w:hAnsi="Times New Roman" w:cs="Times New Roman"/>
              </w:rPr>
              <w:t>preparatory</w:t>
            </w:r>
            <w:r w:rsidR="00706E28">
              <w:rPr>
                <w:rFonts w:ascii="Times New Roman" w:eastAsia="Times New Roman" w:hAnsi="Times New Roman" w:cs="Times New Roman"/>
              </w:rPr>
              <w:t xml:space="preserve"> requirements</w:t>
            </w:r>
            <w:r w:rsidR="00496900">
              <w:rPr>
                <w:rFonts w:ascii="Times New Roman" w:eastAsia="Times New Roman" w:hAnsi="Times New Roman" w:cs="Times New Roman"/>
              </w:rPr>
              <w:t>. Community colleges can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 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eliminate </w:t>
            </w:r>
            <w:r w:rsidR="00496900">
              <w:rPr>
                <w:rFonts w:ascii="Times New Roman" w:eastAsia="Times New Roman" w:hAnsi="Times New Roman" w:cs="Times New Roman"/>
              </w:rPr>
              <w:t>preparatory courses by allowing students to take advanced level courses without requiring a placement test or requesting permission.</w:t>
            </w:r>
            <w:r w:rsidR="00496900">
              <w:rPr>
                <w:rFonts w:ascii="Times New Roman" w:eastAsia="Times New Roman" w:hAnsi="Times New Roman" w:cs="Times New Roman"/>
              </w:rPr>
              <w:t xml:space="preserve">  This initiative is for a limited time to </w:t>
            </w:r>
            <w:r w:rsidR="00706E28">
              <w:rPr>
                <w:rFonts w:ascii="Times New Roman" w:eastAsia="Times New Roman" w:hAnsi="Times New Roman" w:cs="Times New Roman"/>
              </w:rPr>
              <w:t xml:space="preserve">field test </w:t>
            </w:r>
            <w:r w:rsidR="00C45B15">
              <w:rPr>
                <w:rFonts w:ascii="Times New Roman" w:eastAsia="Times New Roman" w:hAnsi="Times New Roman" w:cs="Times New Roman"/>
              </w:rPr>
              <w:t>whether students are successful completing advanced level courses without</w:t>
            </w:r>
            <w:r w:rsidR="009B4B29">
              <w:rPr>
                <w:rFonts w:ascii="Times New Roman" w:eastAsia="Times New Roman" w:hAnsi="Times New Roman" w:cs="Times New Roman"/>
              </w:rPr>
              <w:t xml:space="preserve"> taking prerequisites</w:t>
            </w:r>
            <w:r w:rsidR="00706E28">
              <w:rPr>
                <w:rFonts w:ascii="Times New Roman" w:eastAsia="Times New Roman" w:hAnsi="Times New Roman" w:cs="Times New Roman"/>
              </w:rPr>
              <w:t>. Community colleges will receive State funding to support the new initiative.</w:t>
            </w:r>
          </w:p>
          <w:p w:rsidR="00EC78E8" w:rsidRPr="00343459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Approve Agenda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DB55AB">
              <w:rPr>
                <w:rFonts w:ascii="Times New Roman" w:eastAsia="Times New Roman" w:hAnsi="Times New Roman" w:cs="Times New Roman"/>
                <w:b/>
                <w:bCs/>
              </w:rPr>
              <w:t>Action</w:t>
            </w:r>
            <w:r>
              <w:rPr>
                <w:rFonts w:ascii="Times New Roman" w:eastAsia="Times New Roman" w:hAnsi="Times New Roman" w:cs="Times New Roman"/>
                <w:bCs/>
              </w:rPr>
              <w:t>: Approved - (M/S: Hobbs/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Gunder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); unanimous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Approve Minutes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DB55AB">
              <w:rPr>
                <w:rFonts w:ascii="Times New Roman" w:eastAsia="Times New Roman" w:hAnsi="Times New Roman" w:cs="Times New Roman"/>
                <w:b/>
                <w:bCs/>
              </w:rPr>
              <w:t>Action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: Approved with changes - (M/S: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Gunder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/McGrath); unanimous</w:t>
            </w:r>
          </w:p>
          <w:p w:rsidR="00496900" w:rsidRDefault="00EC78E8" w:rsidP="00496900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Change the title from agenda to minutes; page 1 replace Sarah as possible representative with JoAnn Hobbs; page 2 replace Ginny with Jeanne Bonner; correct misspelled word “module” to” model”; modify abstention - add Richard Stanfield, correct Jeanne name from Ginny; and correct website membership - Jo Ann Hobbs as DE/ESL, Christina as Library, </w:t>
            </w:r>
            <w:r w:rsidR="00DC4131">
              <w:rPr>
                <w:rFonts w:ascii="Times New Roman" w:eastAsia="Times New Roman" w:hAnsi="Times New Roman" w:cs="Times New Roman"/>
                <w:bCs/>
              </w:rPr>
              <w:t xml:space="preserve">vacant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Liberal Arts and CTE </w:t>
            </w:r>
            <w:r w:rsidR="00DC41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(at the Department Chair meeting </w:t>
            </w:r>
            <w:r w:rsidR="00C45B15">
              <w:rPr>
                <w:rFonts w:ascii="Times New Roman" w:eastAsia="Times New Roman" w:hAnsi="Times New Roman" w:cs="Times New Roman"/>
                <w:bCs/>
              </w:rPr>
              <w:t xml:space="preserve">ask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to fill the vacancy), Jeanne as Math &amp; Sciences, confirmation </w:t>
            </w:r>
            <w:r w:rsidR="00C45B15">
              <w:rPr>
                <w:rFonts w:ascii="Times New Roman" w:eastAsia="Times New Roman" w:hAnsi="Times New Roman" w:cs="Times New Roman"/>
                <w:bCs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needed for Francesca as PT faculty at large, Nancy as Planning and </w:t>
            </w:r>
            <w:r w:rsidR="00C45B15">
              <w:rPr>
                <w:rFonts w:ascii="Times New Roman" w:eastAsia="Times New Roman" w:hAnsi="Times New Roman" w:cs="Times New Roman"/>
                <w:bCs/>
              </w:rPr>
              <w:t xml:space="preserve">second position as </w:t>
            </w:r>
            <w:r>
              <w:rPr>
                <w:rFonts w:ascii="Times New Roman" w:eastAsia="Times New Roman" w:hAnsi="Times New Roman" w:cs="Times New Roman"/>
                <w:bCs/>
              </w:rPr>
              <w:t>Dean of LA, Richard Stanfield as</w:t>
            </w:r>
            <w:r w:rsidR="00C45B15">
              <w:rPr>
                <w:rFonts w:ascii="Times New Roman" w:eastAsia="Times New Roman" w:hAnsi="Times New Roman" w:cs="Times New Roman"/>
                <w:bCs/>
              </w:rPr>
              <w:t xml:space="preserve"> LMCAS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DC4131">
              <w:rPr>
                <w:rFonts w:ascii="Times New Roman" w:eastAsia="Times New Roman" w:hAnsi="Times New Roman" w:cs="Times New Roman"/>
                <w:bCs/>
              </w:rPr>
              <w:t xml:space="preserve">vacant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Student Services, 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name correction 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 xml:space="preserve">needed for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Briana. </w:t>
            </w:r>
          </w:p>
          <w:p w:rsidR="00496900" w:rsidRDefault="00496900" w:rsidP="00496900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  <w:p w:rsidR="00EC78E8" w:rsidRDefault="00EC78E8" w:rsidP="00496900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TLC 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>meets from 2-4, 3</w:t>
            </w:r>
            <w:r w:rsidR="00496900" w:rsidRPr="00496900">
              <w:rPr>
                <w:rFonts w:ascii="Times New Roman" w:eastAsia="Times New Roman" w:hAnsi="Times New Roman" w:cs="Times New Roman"/>
                <w:bCs/>
                <w:vertAlign w:val="superscript"/>
              </w:rPr>
              <w:t>rd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 xml:space="preserve"> Tuesday and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is a two year commitment for those planning 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 xml:space="preserve">their Spr’16 </w:t>
            </w:r>
            <w:r>
              <w:rPr>
                <w:rFonts w:ascii="Times New Roman" w:eastAsia="Times New Roman" w:hAnsi="Times New Roman" w:cs="Times New Roman"/>
                <w:bCs/>
              </w:rPr>
              <w:t>schedule</w:t>
            </w:r>
            <w:r w:rsidR="00496900">
              <w:rPr>
                <w:rFonts w:ascii="Times New Roman" w:eastAsia="Times New Roman" w:hAnsi="Times New Roman" w:cs="Times New Roman"/>
                <w:bCs/>
              </w:rPr>
              <w:t>s.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46" w:type="dxa"/>
          </w:tcPr>
          <w:p w:rsidR="00EC78E8" w:rsidRPr="006F5397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Welcome Activity</w:t>
            </w:r>
          </w:p>
        </w:tc>
        <w:tc>
          <w:tcPr>
            <w:tcW w:w="11134" w:type="dxa"/>
          </w:tcPr>
          <w:p w:rsidR="00EC78E8" w:rsidRDefault="00EC78E8" w:rsidP="00EC78E8">
            <w:pPr>
              <w:tabs>
                <w:tab w:val="left" w:pos="1164"/>
              </w:tabs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Tabled</w:t>
            </w:r>
            <w:r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46" w:type="dxa"/>
          </w:tcPr>
          <w:p w:rsidR="00EC78E8" w:rsidRPr="006F5397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 and the Student Equity Plan</w:t>
            </w:r>
          </w:p>
        </w:tc>
        <w:tc>
          <w:tcPr>
            <w:tcW w:w="11134" w:type="dxa"/>
          </w:tcPr>
          <w:p w:rsidR="00C45B15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Equity Plan (EP) activities relat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ed to assessment was discussed to develop a consensus what’s </w:t>
            </w:r>
            <w:r>
              <w:rPr>
                <w:rFonts w:ascii="Times New Roman" w:eastAsia="Times New Roman" w:hAnsi="Times New Roman" w:cs="Times New Roman"/>
              </w:rPr>
              <w:t>the purpose of the plan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what areas 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should </w:t>
            </w:r>
            <w:r>
              <w:rPr>
                <w:rFonts w:ascii="Times New Roman" w:eastAsia="Times New Roman" w:hAnsi="Times New Roman" w:cs="Times New Roman"/>
              </w:rPr>
              <w:t xml:space="preserve">the plan focuses on. </w:t>
            </w:r>
            <w:r w:rsidR="00C45B15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unding 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is available </w:t>
            </w:r>
            <w:r>
              <w:rPr>
                <w:rFonts w:ascii="Times New Roman" w:eastAsia="Times New Roman" w:hAnsi="Times New Roman" w:cs="Times New Roman"/>
              </w:rPr>
              <w:t xml:space="preserve">for professional development </w:t>
            </w:r>
            <w:r w:rsidR="00C45B15">
              <w:rPr>
                <w:rFonts w:ascii="Times New Roman" w:eastAsia="Times New Roman" w:hAnsi="Times New Roman" w:cs="Times New Roman"/>
              </w:rPr>
              <w:t xml:space="preserve">(PD) </w:t>
            </w:r>
            <w:r>
              <w:rPr>
                <w:rFonts w:ascii="Times New Roman" w:eastAsia="Times New Roman" w:hAnsi="Times New Roman" w:cs="Times New Roman"/>
              </w:rPr>
              <w:t xml:space="preserve">aimed at assessment training.  </w:t>
            </w:r>
          </w:p>
          <w:p w:rsidR="00C45B15" w:rsidRDefault="00C45B15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1F5FEC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plan focuses on a target group and achiev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ement gap equitable outcomes. </w:t>
            </w:r>
            <w:r w:rsidR="009B4B29">
              <w:rPr>
                <w:rFonts w:ascii="Times New Roman" w:eastAsia="Times New Roman" w:hAnsi="Times New Roman" w:cs="Times New Roman"/>
              </w:rPr>
              <w:t xml:space="preserve">The goal is to determine </w:t>
            </w:r>
            <w:r w:rsidR="001F5FEC"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 xml:space="preserve"> what extent does the target group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 infuse </w:t>
            </w:r>
            <w:r>
              <w:rPr>
                <w:rFonts w:ascii="Times New Roman" w:eastAsia="Times New Roman" w:hAnsi="Times New Roman" w:cs="Times New Roman"/>
              </w:rPr>
              <w:t xml:space="preserve">into equitable assessment practices campus-wide? </w:t>
            </w:r>
            <w:r w:rsidR="001F5FEC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state 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EP </w:t>
            </w:r>
            <w:r>
              <w:rPr>
                <w:rFonts w:ascii="Times New Roman" w:eastAsia="Times New Roman" w:hAnsi="Times New Roman" w:cs="Times New Roman"/>
              </w:rPr>
              <w:t>version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 exists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 the college (TLC) should develop 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a 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version that infuses 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state and local goals. </w:t>
            </w:r>
            <w:r>
              <w:rPr>
                <w:rFonts w:ascii="Times New Roman" w:eastAsia="Times New Roman" w:hAnsi="Times New Roman" w:cs="Times New Roman"/>
              </w:rPr>
              <w:t xml:space="preserve">The committee as a workgroup completed </w:t>
            </w:r>
            <w:r w:rsidR="001F5FEC">
              <w:rPr>
                <w:rFonts w:ascii="Times New Roman" w:eastAsia="Times New Roman" w:hAnsi="Times New Roman" w:cs="Times New Roman"/>
              </w:rPr>
              <w:t>an activity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 that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 focused on defining</w:t>
            </w:r>
            <w:r w:rsidR="002F1D4F">
              <w:rPr>
                <w:rFonts w:ascii="Times New Roman" w:eastAsia="Times New Roman" w:hAnsi="Times New Roman" w:cs="Times New Roman"/>
              </w:rPr>
              <w:t xml:space="preserve"> equity relationship </w:t>
            </w:r>
            <w:r w:rsidR="000164B8">
              <w:rPr>
                <w:rFonts w:ascii="Times New Roman" w:eastAsia="Times New Roman" w:hAnsi="Times New Roman" w:cs="Times New Roman"/>
              </w:rPr>
              <w:t>to assessment.</w:t>
            </w:r>
          </w:p>
          <w:p w:rsidR="001F5FEC" w:rsidRDefault="001F5FEC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2F1D4F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outcomes</w:t>
            </w:r>
            <w:r w:rsidR="001F5FEC">
              <w:rPr>
                <w:rFonts w:ascii="Times New Roman" w:eastAsia="Times New Roman" w:hAnsi="Times New Roman" w:cs="Times New Roman"/>
              </w:rPr>
              <w:t xml:space="preserve"> </w:t>
            </w:r>
            <w:r w:rsidR="002F1D4F">
              <w:rPr>
                <w:rFonts w:ascii="Times New Roman" w:eastAsia="Times New Roman" w:hAnsi="Times New Roman" w:cs="Times New Roman"/>
              </w:rPr>
              <w:t>of the activity:</w:t>
            </w:r>
          </w:p>
          <w:p w:rsidR="002F1D4F" w:rsidRDefault="002F1D4F" w:rsidP="002F1D4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2F1D4F">
              <w:rPr>
                <w:rFonts w:ascii="Times New Roman" w:eastAsia="Times New Roman" w:hAnsi="Times New Roman" w:cs="Times New Roman"/>
              </w:rPr>
              <w:t>Students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 can have different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>outcome</w:t>
            </w:r>
            <w:r w:rsidR="000164B8">
              <w:rPr>
                <w:rFonts w:ascii="Times New Roman" w:eastAsia="Times New Roman" w:hAnsi="Times New Roman" w:cs="Times New Roman"/>
              </w:rPr>
              <w:t>s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 on a test question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based on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their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cultural perspective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. To address </w:t>
            </w:r>
            <w:r w:rsidR="000164B8">
              <w:rPr>
                <w:rFonts w:ascii="Times New Roman" w:eastAsia="Times New Roman" w:hAnsi="Times New Roman" w:cs="Times New Roman"/>
              </w:rPr>
              <w:t>this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 issue,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a group of students 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can complete a </w:t>
            </w:r>
            <w:r w:rsidR="00CD1D0C">
              <w:rPr>
                <w:rFonts w:ascii="Times New Roman" w:eastAsia="Times New Roman" w:hAnsi="Times New Roman" w:cs="Times New Roman"/>
              </w:rPr>
              <w:t>sample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 exam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to determine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whether th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e questions are clearly stated.  </w:t>
            </w:r>
          </w:p>
          <w:p w:rsidR="002F1D4F" w:rsidRDefault="002F1D4F" w:rsidP="002F1D4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he terminology “assessment”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can be confused with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assessment of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classroom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 practices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,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assessment </w:t>
            </w:r>
            <w:r w:rsidR="00CD1D0C">
              <w:rPr>
                <w:rFonts w:ascii="Times New Roman" w:eastAsia="Times New Roman" w:hAnsi="Times New Roman" w:cs="Times New Roman"/>
              </w:rPr>
              <w:t>testing, course level outcomes (CSLO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s</w:t>
            </w:r>
            <w:r w:rsidR="00CD1D0C">
              <w:rPr>
                <w:rFonts w:ascii="Times New Roman" w:eastAsia="Times New Roman" w:hAnsi="Times New Roman" w:cs="Times New Roman"/>
              </w:rPr>
              <w:t>)</w:t>
            </w:r>
            <w:r w:rsidR="001F5FEC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assessment </w:t>
            </w:r>
            <w:r w:rsidR="001F5FEC" w:rsidRPr="002F1D4F">
              <w:rPr>
                <w:rFonts w:ascii="Times New Roman" w:eastAsia="Times New Roman" w:hAnsi="Times New Roman" w:cs="Times New Roman"/>
              </w:rPr>
              <w:t>outcomes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, and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other assessment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process</w:t>
            </w:r>
            <w:r w:rsidR="001F5FEC" w:rsidRPr="002F1D4F">
              <w:rPr>
                <w:rFonts w:ascii="Times New Roman" w:eastAsia="Times New Roman" w:hAnsi="Times New Roman" w:cs="Times New Roman"/>
              </w:rPr>
              <w:t>es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7105D0" w:rsidRPr="002F1D4F" w:rsidRDefault="002F1D4F" w:rsidP="002F1D4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he term assessment can be used in context of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>“assessing students”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 as </w:t>
            </w:r>
            <w:r w:rsidR="000164B8" w:rsidRPr="002F1D4F">
              <w:rPr>
                <w:rFonts w:ascii="Times New Roman" w:eastAsia="Times New Roman" w:hAnsi="Times New Roman" w:cs="Times New Roman"/>
              </w:rPr>
              <w:t>assigning grades</w:t>
            </w:r>
            <w:r w:rsidR="007105D0" w:rsidRPr="002F1D4F">
              <w:rPr>
                <w:rFonts w:ascii="Times New Roman" w:eastAsia="Times New Roman" w:hAnsi="Times New Roman" w:cs="Times New Roman"/>
              </w:rPr>
              <w:t>. A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ssessment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should be considered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separate when assessing SLOs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 vs. assigning grades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in regards to equity in assessing data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vs.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equity </w:t>
            </w:r>
            <w:r w:rsidR="000164B8">
              <w:rPr>
                <w:rFonts w:ascii="Times New Roman" w:eastAsia="Times New Roman" w:hAnsi="Times New Roman" w:cs="Times New Roman"/>
              </w:rPr>
              <w:t xml:space="preserve">in </w:t>
            </w:r>
            <w:r w:rsidR="007105D0" w:rsidRPr="002F1D4F">
              <w:rPr>
                <w:rFonts w:ascii="Times New Roman" w:eastAsia="Times New Roman" w:hAnsi="Times New Roman" w:cs="Times New Roman"/>
              </w:rPr>
              <w:t>grading assignments</w:t>
            </w:r>
            <w:r>
              <w:rPr>
                <w:rFonts w:ascii="Times New Roman" w:eastAsia="Times New Roman" w:hAnsi="Times New Roman" w:cs="Times New Roman"/>
              </w:rPr>
              <w:t>, but is often</w:t>
            </w:r>
            <w:r w:rsidR="007105D0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confused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105D0" w:rsidRDefault="007105D0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2F1D4F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goal </w:t>
            </w:r>
            <w:r w:rsidR="00472F2C"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</w:rPr>
              <w:t xml:space="preserve">connecting assessment practices </w:t>
            </w:r>
            <w:r w:rsidR="00472F2C"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</w:rPr>
              <w:t>pedagogy classroom practices</w:t>
            </w:r>
            <w:r w:rsidR="002F1D4F">
              <w:rPr>
                <w:rFonts w:ascii="Times New Roman" w:eastAsia="Times New Roman" w:hAnsi="Times New Roman" w:cs="Times New Roman"/>
              </w:rPr>
              <w:t>:</w:t>
            </w:r>
          </w:p>
          <w:p w:rsidR="00EC78E8" w:rsidRPr="002F1D4F" w:rsidRDefault="002F1D4F" w:rsidP="002F1D4F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evelop </w:t>
            </w:r>
            <w:r w:rsidR="00CD1D0C">
              <w:rPr>
                <w:rFonts w:ascii="Times New Roman" w:eastAsia="Times New Roman" w:hAnsi="Times New Roman" w:cs="Times New Roman"/>
              </w:rPr>
              <w:t>CSLO</w:t>
            </w:r>
            <w:r w:rsidR="00472F2C" w:rsidRPr="002F1D4F">
              <w:rPr>
                <w:rFonts w:ascii="Times New Roman" w:eastAsia="Times New Roman" w:hAnsi="Times New Roman" w:cs="Times New Roman"/>
              </w:rPr>
              <w:t>s assessment outcome enhancements</w:t>
            </w:r>
            <w:r>
              <w:rPr>
                <w:rFonts w:ascii="Times New Roman" w:eastAsia="Times New Roman" w:hAnsi="Times New Roman" w:cs="Times New Roman"/>
              </w:rPr>
              <w:t xml:space="preserve"> via student/faculty discussions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.  This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committee is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where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faculty can employ practices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to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help drive </w:t>
            </w:r>
            <w:r w:rsidR="00CD1D0C">
              <w:rPr>
                <w:rFonts w:ascii="Times New Roman" w:eastAsia="Times New Roman" w:hAnsi="Times New Roman" w:cs="Times New Roman"/>
              </w:rPr>
              <w:t>CSLO</w:t>
            </w:r>
            <w:r w:rsidR="00472F2C" w:rsidRPr="002F1D4F">
              <w:rPr>
                <w:rFonts w:ascii="Times New Roman" w:eastAsia="Times New Roman" w:hAnsi="Times New Roman" w:cs="Times New Roman"/>
              </w:rPr>
              <w:t>s assessments outcomes that are transparent and authentic.</w:t>
            </w:r>
          </w:p>
          <w:p w:rsidR="00472F2C" w:rsidRDefault="00472F2C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EC78E8" w:rsidRPr="002F1D4F" w:rsidRDefault="002F1D4F" w:rsidP="002F1D4F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2F1D4F">
              <w:rPr>
                <w:rFonts w:ascii="Times New Roman" w:eastAsia="Times New Roman" w:hAnsi="Times New Roman" w:cs="Times New Roman"/>
              </w:rPr>
              <w:t>N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ew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EP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 xml:space="preserve">pathways involves all students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plus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>equity target students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, if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assessments are not working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does 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it require a revamp or rebuilding of the curriculum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to make it equable</w:t>
            </w:r>
            <w:r w:rsidR="00EC78E8" w:rsidRPr="002F1D4F">
              <w:rPr>
                <w:rFonts w:ascii="Times New Roman" w:eastAsia="Times New Roman" w:hAnsi="Times New Roman" w:cs="Times New Roman"/>
              </w:rPr>
              <w:t>? This quest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ion brings about two points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1)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teaching method or </w:t>
            </w:r>
            <w:r w:rsidR="00472F2C" w:rsidRPr="002F1D4F">
              <w:rPr>
                <w:rFonts w:ascii="Times New Roman" w:eastAsia="Times New Roman" w:hAnsi="Times New Roman" w:cs="Times New Roman"/>
              </w:rPr>
              <w:t xml:space="preserve">2)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compounding </w:t>
            </w:r>
            <w:r w:rsidRPr="002F1D4F">
              <w:rPr>
                <w:rFonts w:ascii="Times New Roman" w:eastAsia="Times New Roman" w:hAnsi="Times New Roman" w:cs="Times New Roman"/>
              </w:rPr>
              <w:t>variables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 contributing to student level outcomes (SLOs)</w:t>
            </w:r>
            <w:r w:rsidR="000164B8">
              <w:rPr>
                <w:rFonts w:ascii="Times New Roman" w:eastAsia="Times New Roman" w:hAnsi="Times New Roman" w:cs="Times New Roman"/>
              </w:rPr>
              <w:t>.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 Sometimes compounding variables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become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>classroom</w:t>
            </w:r>
            <w:r w:rsidR="00DB3E6F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issues </w:t>
            </w:r>
            <w:r w:rsidR="00DB3E6F" w:rsidRPr="002F1D4F">
              <w:rPr>
                <w:rFonts w:ascii="Times New Roman" w:eastAsia="Times New Roman" w:hAnsi="Times New Roman" w:cs="Times New Roman"/>
              </w:rPr>
              <w:t>impacting students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’ success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. 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The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problem with teaching pedagogy </w:t>
            </w:r>
            <w:r w:rsidRPr="002F1D4F">
              <w:rPr>
                <w:rFonts w:ascii="Times New Roman" w:eastAsia="Times New Roman" w:hAnsi="Times New Roman" w:cs="Times New Roman"/>
              </w:rPr>
              <w:t>with or without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outside variables is </w:t>
            </w:r>
            <w:r w:rsidRPr="002F1D4F">
              <w:rPr>
                <w:rFonts w:ascii="Times New Roman" w:eastAsia="Times New Roman" w:hAnsi="Times New Roman" w:cs="Times New Roman"/>
              </w:rPr>
              <w:t>too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 complex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>within the curr</w:t>
            </w:r>
            <w:r w:rsidR="00DE52E5">
              <w:rPr>
                <w:rFonts w:ascii="Times New Roman" w:eastAsia="Times New Roman" w:hAnsi="Times New Roman" w:cs="Times New Roman"/>
              </w:rPr>
              <w:t xml:space="preserve">iculum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and may require outside resources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>brought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in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 to help. For example,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students that </w:t>
            </w:r>
            <w:r w:rsidRPr="002F1D4F">
              <w:rPr>
                <w:rFonts w:ascii="Times New Roman" w:eastAsia="Times New Roman" w:hAnsi="Times New Roman" w:cs="Times New Roman"/>
              </w:rPr>
              <w:t>don’t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test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well</w:t>
            </w:r>
            <w:r w:rsidR="00FE0710" w:rsidRPr="002F1D4F">
              <w:rPr>
                <w:rFonts w:ascii="Times New Roman" w:eastAsia="Times New Roman" w:hAnsi="Times New Roman" w:cs="Times New Roman"/>
              </w:rPr>
              <w:t xml:space="preserve">, as a college do we create 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a class 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that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prepare student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s</w:t>
            </w:r>
            <w:r w:rsidR="00A26E63" w:rsidRPr="002F1D4F">
              <w:rPr>
                <w:rFonts w:ascii="Times New Roman" w:eastAsia="Times New Roman" w:hAnsi="Times New Roman" w:cs="Times New Roman"/>
              </w:rPr>
              <w:t xml:space="preserve"> for test taking skills</w:t>
            </w:r>
            <w:r w:rsidR="00FE0710" w:rsidRPr="002F1D4F">
              <w:rPr>
                <w:rFonts w:ascii="Times New Roman" w:eastAsia="Times New Roman" w:hAnsi="Times New Roman" w:cs="Times New Roman"/>
              </w:rPr>
              <w:t>?</w:t>
            </w:r>
          </w:p>
          <w:p w:rsidR="00A26E63" w:rsidRDefault="00A26E63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C23A1D" w:rsidRPr="002F1D4F" w:rsidRDefault="00FE0710" w:rsidP="002F1D4F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2F1D4F">
              <w:rPr>
                <w:rFonts w:ascii="Times New Roman" w:eastAsia="Times New Roman" w:hAnsi="Times New Roman" w:cs="Times New Roman"/>
              </w:rPr>
              <w:t>S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tudent focus groups </w:t>
            </w:r>
            <w:r w:rsidR="00C1333F" w:rsidRPr="002F1D4F">
              <w:rPr>
                <w:rFonts w:ascii="Times New Roman" w:eastAsia="Times New Roman" w:hAnsi="Times New Roman" w:cs="Times New Roman"/>
              </w:rPr>
              <w:t xml:space="preserve">may be required in order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to receive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constructive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feedback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in ways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>to develop systematic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135384" w:rsidRPr="002F1D4F">
              <w:rPr>
                <w:rFonts w:ascii="Times New Roman" w:eastAsia="Times New Roman" w:hAnsi="Times New Roman" w:cs="Times New Roman"/>
              </w:rPr>
              <w:t>contextualized assessment</w:t>
            </w:r>
            <w:r w:rsidR="00DE52E5">
              <w:rPr>
                <w:rFonts w:ascii="Times New Roman" w:eastAsia="Times New Roman" w:hAnsi="Times New Roman" w:cs="Times New Roman"/>
              </w:rPr>
              <w:t xml:space="preserve"> outcomes</w:t>
            </w:r>
            <w:r w:rsidR="00135384" w:rsidRPr="002F1D4F">
              <w:rPr>
                <w:rFonts w:ascii="Times New Roman" w:eastAsia="Times New Roman" w:hAnsi="Times New Roman" w:cs="Times New Roman"/>
              </w:rPr>
              <w:t xml:space="preserve">. </w:t>
            </w:r>
            <w:r w:rsidRPr="002F1D4F">
              <w:rPr>
                <w:rFonts w:ascii="Times New Roman" w:eastAsia="Times New Roman" w:hAnsi="Times New Roman" w:cs="Times New Roman"/>
              </w:rPr>
              <w:t>Currently a</w:t>
            </w:r>
            <w:r w:rsidR="00C23A1D" w:rsidRPr="002F1D4F">
              <w:rPr>
                <w:rFonts w:ascii="Times New Roman" w:eastAsia="Times New Roman" w:hAnsi="Times New Roman" w:cs="Times New Roman"/>
              </w:rPr>
              <w:t xml:space="preserve">ssessments provides data how successful students are in the class, instead of how students achieve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that </w:t>
            </w:r>
            <w:r w:rsidR="00C23A1D" w:rsidRPr="002F1D4F">
              <w:rPr>
                <w:rFonts w:ascii="Times New Roman" w:eastAsia="Times New Roman" w:hAnsi="Times New Roman" w:cs="Times New Roman"/>
              </w:rPr>
              <w:t xml:space="preserve">success. </w:t>
            </w:r>
            <w:r w:rsidRPr="002F1D4F">
              <w:rPr>
                <w:rFonts w:ascii="Times New Roman" w:eastAsia="Times New Roman" w:hAnsi="Times New Roman" w:cs="Times New Roman"/>
              </w:rPr>
              <w:t>TLC agreed to focus on d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eveloping strategies </w:t>
            </w:r>
            <w:r w:rsidRPr="002F1D4F">
              <w:rPr>
                <w:rFonts w:ascii="Times New Roman" w:eastAsia="Times New Roman" w:hAnsi="Times New Roman" w:cs="Times New Roman"/>
              </w:rPr>
              <w:t>to address equitable issues with</w:t>
            </w:r>
            <w:r w:rsidR="002F1D4F">
              <w:rPr>
                <w:rFonts w:ascii="Times New Roman" w:eastAsia="Times New Roman" w:hAnsi="Times New Roman" w:cs="Times New Roman"/>
              </w:rPr>
              <w:t>in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 c</w:t>
            </w:r>
            <w:r w:rsidR="00C23A1D" w:rsidRPr="002F1D4F">
              <w:rPr>
                <w:rFonts w:ascii="Times New Roman" w:eastAsia="Times New Roman" w:hAnsi="Times New Roman" w:cs="Times New Roman"/>
              </w:rPr>
              <w:t>lass</w:t>
            </w:r>
            <w:r w:rsidR="00734E8F" w:rsidRPr="002F1D4F">
              <w:rPr>
                <w:rFonts w:ascii="Times New Roman" w:eastAsia="Times New Roman" w:hAnsi="Times New Roman" w:cs="Times New Roman"/>
              </w:rPr>
              <w:t>room</w:t>
            </w:r>
            <w:r w:rsidR="00C23A1D" w:rsidRPr="002F1D4F">
              <w:rPr>
                <w:rFonts w:ascii="Times New Roman" w:eastAsia="Times New Roman" w:hAnsi="Times New Roman" w:cs="Times New Roman"/>
              </w:rPr>
              <w:t xml:space="preserve"> practices, pedagogy, </w:t>
            </w:r>
            <w:r w:rsidR="003341DA" w:rsidRPr="002F1D4F">
              <w:rPr>
                <w:rFonts w:ascii="Times New Roman" w:eastAsia="Times New Roman" w:hAnsi="Times New Roman" w:cs="Times New Roman"/>
              </w:rPr>
              <w:t>modes of instructions</w:t>
            </w:r>
            <w:r w:rsidR="00734E8F" w:rsidRPr="002F1D4F">
              <w:rPr>
                <w:rFonts w:ascii="Times New Roman" w:eastAsia="Times New Roman" w:hAnsi="Times New Roman" w:cs="Times New Roman"/>
              </w:rPr>
              <w:t xml:space="preserve"> </w:t>
            </w:r>
            <w:r w:rsidR="00894817">
              <w:rPr>
                <w:rFonts w:ascii="Times New Roman" w:eastAsia="Times New Roman" w:hAnsi="Times New Roman" w:cs="Times New Roman"/>
              </w:rPr>
              <w:t>joined</w:t>
            </w:r>
            <w:r w:rsidR="00734E8F" w:rsidRPr="002F1D4F">
              <w:rPr>
                <w:rFonts w:ascii="Times New Roman" w:eastAsia="Times New Roman" w:hAnsi="Times New Roman" w:cs="Times New Roman"/>
              </w:rPr>
              <w:t xml:space="preserve"> to </w:t>
            </w:r>
            <w:r w:rsidR="00CD1D0C">
              <w:rPr>
                <w:rFonts w:ascii="Times New Roman" w:eastAsia="Times New Roman" w:hAnsi="Times New Roman" w:cs="Times New Roman"/>
              </w:rPr>
              <w:t>CSLO</w:t>
            </w:r>
            <w:r w:rsidR="00734E8F" w:rsidRPr="002F1D4F">
              <w:rPr>
                <w:rFonts w:ascii="Times New Roman" w:eastAsia="Times New Roman" w:hAnsi="Times New Roman" w:cs="Times New Roman"/>
              </w:rPr>
              <w:t>s</w:t>
            </w:r>
            <w:r w:rsidR="003341DA" w:rsidRPr="002F1D4F">
              <w:rPr>
                <w:rFonts w:ascii="Times New Roman" w:eastAsia="Times New Roman" w:hAnsi="Times New Roman" w:cs="Times New Roman"/>
              </w:rPr>
              <w:t xml:space="preserve"> assessment, and other variable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s through a </w:t>
            </w:r>
            <w:r w:rsidR="003341DA" w:rsidRPr="002F1D4F">
              <w:rPr>
                <w:rFonts w:ascii="Times New Roman" w:eastAsia="Times New Roman" w:hAnsi="Times New Roman" w:cs="Times New Roman"/>
              </w:rPr>
              <w:t xml:space="preserve">PD plan </w:t>
            </w:r>
            <w:r w:rsidRPr="002F1D4F">
              <w:rPr>
                <w:rFonts w:ascii="Times New Roman" w:eastAsia="Times New Roman" w:hAnsi="Times New Roman" w:cs="Times New Roman"/>
              </w:rPr>
              <w:t xml:space="preserve">that increases </w:t>
            </w:r>
            <w:r w:rsidR="003341DA" w:rsidRPr="002F1D4F">
              <w:rPr>
                <w:rFonts w:ascii="Times New Roman" w:eastAsia="Times New Roman" w:hAnsi="Times New Roman" w:cs="Times New Roman"/>
              </w:rPr>
              <w:t xml:space="preserve">equitable outcomes. </w:t>
            </w:r>
          </w:p>
          <w:p w:rsidR="003341DA" w:rsidRDefault="003341DA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3341DA" w:rsidRPr="00894817" w:rsidRDefault="00221A2E" w:rsidP="0089481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894817">
              <w:rPr>
                <w:rFonts w:ascii="Times New Roman" w:eastAsia="Times New Roman" w:hAnsi="Times New Roman" w:cs="Times New Roman"/>
              </w:rPr>
              <w:t>A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 direct link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exists between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TLC and the equity plan 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three indicators; 1.) </w:t>
            </w:r>
            <w:proofErr w:type="gramStart"/>
            <w:r w:rsidRPr="00894817">
              <w:rPr>
                <w:rFonts w:ascii="Times New Roman" w:eastAsia="Times New Roman" w:hAnsi="Times New Roman" w:cs="Times New Roman"/>
              </w:rPr>
              <w:t>course</w:t>
            </w:r>
            <w:proofErr w:type="gramEnd"/>
            <w:r w:rsidR="00734E8F" w:rsidRPr="00894817">
              <w:rPr>
                <w:rFonts w:ascii="Times New Roman" w:eastAsia="Times New Roman" w:hAnsi="Times New Roman" w:cs="Times New Roman"/>
              </w:rPr>
              <w:t xml:space="preserve"> completion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which is 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related to </w:t>
            </w:r>
            <w:r w:rsidR="00CD1D0C">
              <w:rPr>
                <w:rFonts w:ascii="Times New Roman" w:eastAsia="Times New Roman" w:hAnsi="Times New Roman" w:cs="Times New Roman"/>
              </w:rPr>
              <w:t>CSLO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s assessment, 2.) ESL/Basic skills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completion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which is 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related to program level assessment, and 3.) </w:t>
            </w:r>
            <w:proofErr w:type="gramStart"/>
            <w:r w:rsidRPr="00894817">
              <w:rPr>
                <w:rFonts w:ascii="Times New Roman" w:eastAsia="Times New Roman" w:hAnsi="Times New Roman" w:cs="Times New Roman"/>
              </w:rPr>
              <w:t>degrees/certificate</w:t>
            </w:r>
            <w:r w:rsidR="00CD1D0C"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 w:rsidRPr="00894817">
              <w:rPr>
                <w:rFonts w:ascii="Times New Roman" w:eastAsia="Times New Roman" w:hAnsi="Times New Roman" w:cs="Times New Roman"/>
              </w:rPr>
              <w:t xml:space="preserve"> completion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which is </w:t>
            </w:r>
            <w:r w:rsidR="00734E8F" w:rsidRPr="00894817">
              <w:rPr>
                <w:rFonts w:ascii="Times New Roman" w:eastAsia="Times New Roman" w:hAnsi="Times New Roman" w:cs="Times New Roman"/>
              </w:rPr>
              <w:t xml:space="preserve">related to PSLOs. </w:t>
            </w:r>
            <w:r w:rsidRPr="00894817">
              <w:rPr>
                <w:rFonts w:ascii="Times New Roman" w:eastAsia="Times New Roman" w:hAnsi="Times New Roman" w:cs="Times New Roman"/>
              </w:rPr>
              <w:t>TLC</w:t>
            </w:r>
            <w:r w:rsidR="00894817">
              <w:rPr>
                <w:rFonts w:ascii="Times New Roman" w:eastAsia="Times New Roman" w:hAnsi="Times New Roman" w:cs="Times New Roman"/>
              </w:rPr>
              <w:t xml:space="preserve"> should enhance the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 direct link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to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these three equity indicators </w:t>
            </w:r>
            <w:r w:rsidR="00894817">
              <w:rPr>
                <w:rFonts w:ascii="Times New Roman" w:eastAsia="Times New Roman" w:hAnsi="Times New Roman" w:cs="Times New Roman"/>
              </w:rPr>
              <w:t>as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 the quantitative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focus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piece. </w:t>
            </w:r>
            <w:r w:rsidR="00894817" w:rsidRPr="00894817">
              <w:rPr>
                <w:rFonts w:ascii="Times New Roman" w:eastAsia="Times New Roman" w:hAnsi="Times New Roman" w:cs="Times New Roman"/>
              </w:rPr>
              <w:t>Briana’s document</w:t>
            </w:r>
            <w:r w:rsidR="00894817" w:rsidRPr="00894817">
              <w:rPr>
                <w:rFonts w:ascii="Times New Roman" w:eastAsia="Times New Roman" w:hAnsi="Times New Roman" w:cs="Times New Roman"/>
              </w:rPr>
              <w:t xml:space="preserve"> </w:t>
            </w:r>
            <w:r w:rsidR="00894817">
              <w:rPr>
                <w:rFonts w:ascii="Times New Roman" w:eastAsia="Times New Roman" w:hAnsi="Times New Roman" w:cs="Times New Roman"/>
              </w:rPr>
              <w:t>tells t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he story behind the indicators in relation to the quantitative information. </w:t>
            </w:r>
          </w:p>
          <w:p w:rsidR="00221A2E" w:rsidRDefault="00221A2E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913528" w:rsidRPr="00894817" w:rsidRDefault="00C1333F" w:rsidP="0089481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Times New Roman" w:eastAsia="Times New Roman" w:hAnsi="Times New Roman" w:cs="Times New Roman"/>
              </w:rPr>
            </w:pPr>
            <w:r w:rsidRPr="00894817">
              <w:rPr>
                <w:rFonts w:ascii="Times New Roman" w:eastAsia="Times New Roman" w:hAnsi="Times New Roman" w:cs="Times New Roman"/>
              </w:rPr>
              <w:t xml:space="preserve">It was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suggested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 that d</w:t>
            </w:r>
            <w:r w:rsidR="00221A2E" w:rsidRPr="00894817">
              <w:rPr>
                <w:rFonts w:ascii="Times New Roman" w:eastAsia="Times New Roman" w:hAnsi="Times New Roman" w:cs="Times New Roman"/>
              </w:rPr>
              <w:t xml:space="preserve">epartments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be given their data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so it can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be 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analyzed </w:t>
            </w:r>
            <w:r w:rsidR="00221A2E" w:rsidRPr="00894817">
              <w:rPr>
                <w:rFonts w:ascii="Times New Roman" w:eastAsia="Times New Roman" w:hAnsi="Times New Roman" w:cs="Times New Roman"/>
              </w:rPr>
              <w:t>for PD support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.  The</w:t>
            </w:r>
            <w:r w:rsidR="00894817">
              <w:rPr>
                <w:rFonts w:ascii="Times New Roman" w:eastAsia="Times New Roman" w:hAnsi="Times New Roman" w:cs="Times New Roman"/>
              </w:rPr>
              <w:t xml:space="preserve"> data is public information and</w:t>
            </w:r>
            <w:r w:rsidRPr="00894817">
              <w:rPr>
                <w:rFonts w:ascii="Times New Roman" w:eastAsia="Times New Roman" w:hAnsi="Times New Roman" w:cs="Times New Roman"/>
              </w:rPr>
              <w:t xml:space="preserve"> during the prog</w:t>
            </w:r>
            <w:bookmarkStart w:id="0" w:name="_GoBack"/>
            <w:bookmarkEnd w:id="0"/>
            <w:r w:rsidRPr="00894817">
              <w:rPr>
                <w:rFonts w:ascii="Times New Roman" w:eastAsia="Times New Roman" w:hAnsi="Times New Roman" w:cs="Times New Roman"/>
              </w:rPr>
              <w:t>ram review process</w:t>
            </w:r>
            <w:r w:rsidR="00894817">
              <w:rPr>
                <w:rFonts w:ascii="Times New Roman" w:eastAsia="Times New Roman" w:hAnsi="Times New Roman" w:cs="Times New Roman"/>
              </w:rPr>
              <w:t xml:space="preserve">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the data </w:t>
            </w:r>
            <w:r w:rsidR="00894817">
              <w:rPr>
                <w:rFonts w:ascii="Times New Roman" w:eastAsia="Times New Roman" w:hAnsi="Times New Roman" w:cs="Times New Roman"/>
              </w:rPr>
              <w:t>is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 analyzed. Instead t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here is a need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to offer </w:t>
            </w:r>
            <w:r w:rsidRPr="00894817">
              <w:rPr>
                <w:rFonts w:ascii="Times New Roman" w:eastAsia="Times New Roman" w:hAnsi="Times New Roman" w:cs="Times New Roman"/>
              </w:rPr>
              <w:t>support to analyze the da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ta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that move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towards equitable outcomes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, because it’s </w:t>
            </w:r>
            <w:r w:rsidR="00894817">
              <w:rPr>
                <w:rFonts w:ascii="Times New Roman" w:eastAsia="Times New Roman" w:hAnsi="Times New Roman" w:cs="Times New Roman"/>
              </w:rPr>
              <w:t xml:space="preserve">difficult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to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disaggregate the data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for instructors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.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>Moving forward b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est practices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is to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look at the known issues and develop activities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that addresses the </w:t>
            </w:r>
            <w:r w:rsidR="00894817">
              <w:rPr>
                <w:rFonts w:ascii="Times New Roman" w:eastAsia="Times New Roman" w:hAnsi="Times New Roman" w:cs="Times New Roman"/>
              </w:rPr>
              <w:t>in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equities; e.g. improving services to underrepresented students. </w:t>
            </w:r>
            <w:r w:rsidR="00BF7055" w:rsidRPr="00894817">
              <w:rPr>
                <w:rFonts w:ascii="Times New Roman" w:eastAsia="Times New Roman" w:hAnsi="Times New Roman" w:cs="Times New Roman"/>
              </w:rPr>
              <w:t xml:space="preserve">EP describes </w:t>
            </w:r>
            <w:r w:rsidR="00DB3E6F" w:rsidRPr="00894817">
              <w:rPr>
                <w:rFonts w:ascii="Times New Roman" w:eastAsia="Times New Roman" w:hAnsi="Times New Roman" w:cs="Times New Roman"/>
              </w:rPr>
              <w:t>using and collecting other data</w:t>
            </w:r>
            <w:r w:rsidR="00AA0BC7" w:rsidRPr="00894817">
              <w:rPr>
                <w:rFonts w:ascii="Times New Roman" w:eastAsia="Times New Roman" w:hAnsi="Times New Roman" w:cs="Times New Roman"/>
              </w:rPr>
              <w:t xml:space="preserve"> </w:t>
            </w:r>
            <w:r w:rsidR="00894817">
              <w:rPr>
                <w:rFonts w:ascii="Times New Roman" w:eastAsia="Times New Roman" w:hAnsi="Times New Roman" w:cs="Times New Roman"/>
              </w:rPr>
              <w:t>for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 the college to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>b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uild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equity </w:t>
            </w:r>
            <w:r w:rsidR="00CD1D0C">
              <w:rPr>
                <w:rFonts w:ascii="Times New Roman" w:eastAsia="Times New Roman" w:hAnsi="Times New Roman" w:cs="Times New Roman"/>
              </w:rPr>
              <w:t xml:space="preserve">focus PD workshops.  One workshop could focus 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on program level assessments </w:t>
            </w:r>
            <w:r w:rsidR="00913528" w:rsidRPr="00894817">
              <w:rPr>
                <w:rFonts w:ascii="Times New Roman" w:eastAsia="Times New Roman" w:hAnsi="Times New Roman" w:cs="Times New Roman"/>
              </w:rPr>
              <w:t>training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 </w:t>
            </w:r>
            <w:r w:rsidR="00AA0BC7" w:rsidRPr="00894817">
              <w:rPr>
                <w:rFonts w:ascii="Times New Roman" w:eastAsia="Times New Roman" w:hAnsi="Times New Roman" w:cs="Times New Roman"/>
              </w:rPr>
              <w:t xml:space="preserve">as we approach </w:t>
            </w:r>
            <w:r w:rsidR="00DB3E6F" w:rsidRPr="00894817">
              <w:rPr>
                <w:rFonts w:ascii="Times New Roman" w:eastAsia="Times New Roman" w:hAnsi="Times New Roman" w:cs="Times New Roman"/>
              </w:rPr>
              <w:t xml:space="preserve">year </w:t>
            </w:r>
            <w:r w:rsidR="00AA0BC7" w:rsidRPr="00894817">
              <w:rPr>
                <w:rFonts w:ascii="Times New Roman" w:eastAsia="Times New Roman" w:hAnsi="Times New Roman" w:cs="Times New Roman"/>
              </w:rPr>
              <w:t>five</w:t>
            </w:r>
            <w:r w:rsidR="00913528" w:rsidRPr="0089481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B3E6F" w:rsidRDefault="00DB3E6F" w:rsidP="00DB3E6F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894817" w:rsidRDefault="00DB3E6F" w:rsidP="00AA0BC7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committee agreed PD training is the best practice to address the</w:t>
            </w:r>
            <w:r w:rsidR="00AA0BC7">
              <w:rPr>
                <w:rFonts w:ascii="Times New Roman" w:eastAsia="Times New Roman" w:hAnsi="Times New Roman" w:cs="Times New Roman"/>
              </w:rPr>
              <w:t xml:space="preserve"> equity issues in the classroom using</w:t>
            </w:r>
            <w:r w:rsidR="001819FB">
              <w:rPr>
                <w:rFonts w:ascii="Times New Roman" w:eastAsia="Times New Roman" w:hAnsi="Times New Roman" w:cs="Times New Roman"/>
              </w:rPr>
              <w:t xml:space="preserve"> available</w:t>
            </w:r>
            <w:r w:rsidR="00AA0BC7">
              <w:rPr>
                <w:rFonts w:ascii="Times New Roman" w:eastAsia="Times New Roman" w:hAnsi="Times New Roman" w:cs="Times New Roman"/>
              </w:rPr>
              <w:t xml:space="preserve"> funding</w:t>
            </w:r>
            <w:r w:rsidR="001819FB">
              <w:rPr>
                <w:rFonts w:ascii="Times New Roman" w:eastAsia="Times New Roman" w:hAnsi="Times New Roman" w:cs="Times New Roman"/>
              </w:rPr>
              <w:t>.</w:t>
            </w:r>
          </w:p>
          <w:p w:rsidR="001819FB" w:rsidRDefault="001819FB" w:rsidP="00AA0BC7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46" w:type="dxa"/>
          </w:tcPr>
          <w:p w:rsidR="00EC78E8" w:rsidRPr="006F5397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Approval Midway Report</w:t>
            </w:r>
          </w:p>
        </w:tc>
        <w:tc>
          <w:tcPr>
            <w:tcW w:w="11134" w:type="dxa"/>
          </w:tcPr>
          <w:p w:rsidR="00C01101" w:rsidRDefault="001819FB" w:rsidP="00C01101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The Midway report document was given to members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 for feedback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The final report is due Spring’16.  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 xml:space="preserve">More information will be added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to the report </w:t>
            </w:r>
            <w:r>
              <w:rPr>
                <w:rFonts w:ascii="Times New Roman" w:eastAsia="Times New Roman" w:hAnsi="Times New Roman" w:cs="Times New Roman"/>
                <w:bCs/>
              </w:rPr>
              <w:t>r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egarding assessment outcomes and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>number courses/programs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 assessed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>.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 xml:space="preserve">A vote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was requested </w:t>
            </w:r>
            <w:r w:rsidR="009F7560">
              <w:rPr>
                <w:rFonts w:ascii="Times New Roman" w:eastAsia="Times New Roman" w:hAnsi="Times New Roman" w:cs="Times New Roman"/>
                <w:bCs/>
              </w:rPr>
              <w:t xml:space="preserve">to approve </w:t>
            </w:r>
            <w:r w:rsidR="004013F5"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existing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report;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however,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it was recommended </w:t>
            </w:r>
            <w:r w:rsidR="009F7560">
              <w:rPr>
                <w:rFonts w:ascii="Times New Roman" w:eastAsia="Times New Roman" w:hAnsi="Times New Roman" w:cs="Times New Roman"/>
                <w:bCs/>
              </w:rPr>
              <w:t xml:space="preserve">to hold the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vote </w:t>
            </w:r>
            <w:r w:rsidR="009F7560">
              <w:rPr>
                <w:rFonts w:ascii="Times New Roman" w:eastAsia="Times New Roman" w:hAnsi="Times New Roman" w:cs="Times New Roman"/>
                <w:bCs/>
              </w:rPr>
              <w:t>until the assessment results are available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and the next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>steps to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>wards moving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 assessment forward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 are identified within the report</w:t>
            </w:r>
            <w:r w:rsidR="009F7560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>A m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>otion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 was made to 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>update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 the report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 to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include the next steps, then present the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updated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>report at the next TLC meeting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 (November)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, afterwards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have an off cycle vote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(December) 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>for approval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, and forward 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 xml:space="preserve">the final version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to </w:t>
            </w:r>
            <w:r w:rsidR="00C01101">
              <w:rPr>
                <w:rFonts w:ascii="Times New Roman" w:eastAsia="Times New Roman" w:hAnsi="Times New Roman" w:cs="Times New Roman"/>
                <w:bCs/>
              </w:rPr>
              <w:t xml:space="preserve">senate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in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spring. </w:t>
            </w:r>
          </w:p>
          <w:p w:rsidR="00EC78E8" w:rsidRDefault="004013F5" w:rsidP="00C01101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9F7560">
              <w:rPr>
                <w:rFonts w:ascii="Times New Roman" w:eastAsia="Times New Roman" w:hAnsi="Times New Roman" w:cs="Times New Roman"/>
                <w:b/>
                <w:bCs/>
              </w:rPr>
              <w:t>Action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: (M/S: Ybarra/McCarthy); unanimous 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46" w:type="dxa"/>
          </w:tcPr>
          <w:p w:rsidR="00EC78E8" w:rsidRPr="006F5397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GE Survey</w:t>
            </w:r>
          </w:p>
        </w:tc>
        <w:tc>
          <w:tcPr>
            <w:tcW w:w="11134" w:type="dxa"/>
          </w:tcPr>
          <w:p w:rsidR="00EC78E8" w:rsidRDefault="00C01101" w:rsidP="00894817">
            <w:pPr>
              <w:spacing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d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>r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>aft GE Survey was shared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with the committee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It was proposed 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for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TLC members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to </w:t>
            </w:r>
            <w:r w:rsidR="00FF5713">
              <w:rPr>
                <w:rFonts w:ascii="Times New Roman" w:eastAsia="Times New Roman" w:hAnsi="Times New Roman" w:cs="Times New Roman"/>
                <w:bCs/>
              </w:rPr>
              <w:t xml:space="preserve">provide 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>feedback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and send comments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>/suggestions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to Cindy via email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Cs/>
              </w:rPr>
              <w:t>T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suggestions 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 xml:space="preserve">will be compared with feedback received from GE </w:t>
            </w:r>
            <w:r w:rsidR="00AA0BC7">
              <w:rPr>
                <w:rFonts w:ascii="Times New Roman" w:eastAsia="Times New Roman" w:hAnsi="Times New Roman" w:cs="Times New Roman"/>
                <w:bCs/>
              </w:rPr>
              <w:t>in order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to develop a final a </w:t>
            </w:r>
            <w:r w:rsidR="00894817">
              <w:rPr>
                <w:rFonts w:ascii="Times New Roman" w:eastAsia="Times New Roman" w:hAnsi="Times New Roman" w:cs="Times New Roman"/>
                <w:bCs/>
              </w:rPr>
              <w:t>version</w:t>
            </w:r>
            <w:r w:rsidR="00932391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Recruitment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Tabled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</w:tr>
      <w:tr w:rsidR="00EC78E8" w:rsidTr="00932391">
        <w:tc>
          <w:tcPr>
            <w:tcW w:w="535" w:type="dxa"/>
          </w:tcPr>
          <w:p w:rsidR="00EC78E8" w:rsidRDefault="00EC78E8" w:rsidP="00EC78E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46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Adjournment</w:t>
            </w:r>
          </w:p>
        </w:tc>
        <w:tc>
          <w:tcPr>
            <w:tcW w:w="11134" w:type="dxa"/>
          </w:tcPr>
          <w:p w:rsidR="00EC78E8" w:rsidRDefault="00EC78E8" w:rsidP="00EC78E8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4:01pm</w:t>
            </w:r>
          </w:p>
        </w:tc>
      </w:tr>
    </w:tbl>
    <w:p w:rsidR="00E92DB4" w:rsidRDefault="00E92DB4"/>
    <w:sectPr w:rsidR="00E92DB4" w:rsidSect="00EC78E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63" w:rsidRDefault="00A26E63" w:rsidP="00A26E63">
      <w:pPr>
        <w:spacing w:after="0" w:line="240" w:lineRule="auto"/>
      </w:pPr>
      <w:r>
        <w:separator/>
      </w:r>
    </w:p>
  </w:endnote>
  <w:endnote w:type="continuationSeparator" w:id="0">
    <w:p w:rsidR="00A26E63" w:rsidRDefault="00A26E63" w:rsidP="00A2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FB" w:rsidRDefault="001819FB" w:rsidP="001819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D0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63" w:rsidRDefault="00A26E63" w:rsidP="00A26E63">
      <w:pPr>
        <w:spacing w:after="0" w:line="240" w:lineRule="auto"/>
      </w:pPr>
      <w:r>
        <w:separator/>
      </w:r>
    </w:p>
  </w:footnote>
  <w:footnote w:type="continuationSeparator" w:id="0">
    <w:p w:rsidR="00A26E63" w:rsidRDefault="00A26E63" w:rsidP="00A2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63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</w:rPr>
      <w:t>Los Medanos College</w:t>
    </w:r>
    <w:r>
      <w:rPr>
        <w:rFonts w:ascii="Times New Roman" w:eastAsia="Times New Roman" w:hAnsi="Times New Roman" w:cs="Times New Roman"/>
        <w:bCs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32"/>
        <w:szCs w:val="24"/>
      </w:rPr>
      <w:t>TLC Minutes 10/20/15</w:t>
    </w:r>
    <w:r>
      <w:rPr>
        <w:rFonts w:ascii="Times New Roman" w:eastAsia="Times New Roman" w:hAnsi="Times New Roman" w:cs="Times New Roman"/>
        <w:b/>
        <w:sz w:val="32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>2:00 – 4:00pm CO-420</w:t>
    </w:r>
  </w:p>
  <w:p w:rsidR="00A26E63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b/>
        <w:sz w:val="24"/>
        <w:szCs w:val="24"/>
      </w:rPr>
    </w:pP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  <w:r w:rsidRPr="00BC4200">
      <w:rPr>
        <w:rFonts w:ascii="Times New Roman" w:eastAsia="Times New Roman" w:hAnsi="Times New Roman" w:cs="Times New Roman"/>
        <w:b/>
        <w:sz w:val="20"/>
        <w:szCs w:val="20"/>
      </w:rPr>
      <w:t xml:space="preserve">Members: </w:t>
    </w:r>
    <w:r w:rsidRPr="00BC4200">
      <w:rPr>
        <w:rFonts w:ascii="Times New Roman" w:eastAsia="Times New Roman" w:hAnsi="Times New Roman" w:cs="Times New Roman"/>
        <w:sz w:val="20"/>
        <w:szCs w:val="20"/>
      </w:rPr>
      <w:t xml:space="preserve">Tue Rust, </w:t>
    </w:r>
    <w:r w:rsidRPr="00BC4200">
      <w:rPr>
        <w:rFonts w:ascii="Times New Roman" w:eastAsia="Times New Roman" w:hAnsi="Times New Roman" w:cs="Times New Roman"/>
        <w:b/>
        <w:sz w:val="20"/>
        <w:szCs w:val="20"/>
      </w:rPr>
      <w:t>Chair</w:t>
    </w:r>
    <w:r w:rsidRPr="00BC4200">
      <w:rPr>
        <w:rFonts w:ascii="Times New Roman" w:eastAsia="Times New Roman" w:hAnsi="Times New Roman" w:cs="Times New Roman"/>
        <w:sz w:val="20"/>
        <w:szCs w:val="20"/>
      </w:rPr>
      <w:t xml:space="preserve">; Francesca Briggs, Jeanne Bonner, Courtney Diputado, Louie Giambattista, Paula </w:t>
    </w:r>
    <w:proofErr w:type="spellStart"/>
    <w:r w:rsidRPr="00BC4200">
      <w:rPr>
        <w:rFonts w:ascii="Times New Roman" w:eastAsia="Times New Roman" w:hAnsi="Times New Roman" w:cs="Times New Roman"/>
        <w:sz w:val="20"/>
        <w:szCs w:val="20"/>
      </w:rPr>
      <w:t>Gunder</w:t>
    </w:r>
    <w:proofErr w:type="spellEnd"/>
    <w:r w:rsidRPr="00BC4200">
      <w:rPr>
        <w:rFonts w:ascii="Times New Roman" w:eastAsia="Times New Roman" w:hAnsi="Times New Roman" w:cs="Times New Roman"/>
        <w:sz w:val="20"/>
        <w:szCs w:val="20"/>
      </w:rPr>
      <w:t xml:space="preserve">, JoAnn Hobbs, Briana McCarthy, Cindy McGrath; </w:t>
    </w:r>
    <w:r w:rsidRPr="00BC4200">
      <w:rPr>
        <w:rFonts w:ascii="Times New Roman" w:eastAsia="Times New Roman" w:hAnsi="Times New Roman" w:cs="Times New Roman"/>
        <w:b/>
        <w:sz w:val="20"/>
        <w:szCs w:val="20"/>
      </w:rPr>
      <w:t>Deans</w:t>
    </w:r>
    <w:r w:rsidRPr="00BC4200">
      <w:rPr>
        <w:rFonts w:ascii="Times New Roman" w:eastAsia="Times New Roman" w:hAnsi="Times New Roman" w:cs="Times New Roman"/>
        <w:sz w:val="20"/>
        <w:szCs w:val="20"/>
      </w:rPr>
      <w:t xml:space="preserve">: Natalie Hannum, Gail Newman, Nancy Ybarra; </w:t>
    </w:r>
    <w:r w:rsidRPr="00BC4200">
      <w:rPr>
        <w:rFonts w:ascii="Times New Roman" w:eastAsia="Times New Roman" w:hAnsi="Times New Roman" w:cs="Times New Roman"/>
        <w:b/>
        <w:sz w:val="20"/>
        <w:szCs w:val="20"/>
      </w:rPr>
      <w:t xml:space="preserve">Student Representative: </w:t>
    </w:r>
    <w:r w:rsidRPr="00BC4200">
      <w:rPr>
        <w:rFonts w:ascii="Times New Roman" w:eastAsia="Times New Roman" w:hAnsi="Times New Roman" w:cs="Times New Roman"/>
        <w:sz w:val="20"/>
        <w:szCs w:val="20"/>
      </w:rPr>
      <w:t xml:space="preserve">Richard Stanfield </w:t>
    </w:r>
    <w:r w:rsidRPr="00BC4200">
      <w:rPr>
        <w:rFonts w:ascii="Times New Roman" w:eastAsia="Times New Roman" w:hAnsi="Times New Roman" w:cs="Times New Roman"/>
        <w:b/>
        <w:sz w:val="20"/>
        <w:szCs w:val="20"/>
      </w:rPr>
      <w:t>Note taker</w:t>
    </w:r>
    <w:r w:rsidRPr="00BC4200">
      <w:rPr>
        <w:rFonts w:ascii="Times New Roman" w:eastAsia="Times New Roman" w:hAnsi="Times New Roman" w:cs="Times New Roman"/>
        <w:sz w:val="20"/>
        <w:szCs w:val="20"/>
      </w:rPr>
      <w:t>: Shondra West</w:t>
    </w: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  <w:r w:rsidRPr="00BC4200">
      <w:rPr>
        <w:rFonts w:ascii="Times New Roman" w:eastAsia="Times New Roman" w:hAnsi="Times New Roman" w:cs="Times New Roman"/>
        <w:sz w:val="20"/>
        <w:szCs w:val="20"/>
      </w:rPr>
      <w:t>Guest: Morgan Lynn and POLSC Students</w:t>
    </w: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</w:p>
  <w:p w:rsidR="00A26E63" w:rsidRPr="00BC4200" w:rsidRDefault="00A26E63" w:rsidP="00A26E6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sz w:val="20"/>
        <w:szCs w:val="20"/>
      </w:rPr>
    </w:pPr>
    <w:r w:rsidRPr="00BC4200">
      <w:rPr>
        <w:rFonts w:ascii="Times New Roman" w:eastAsia="Times New Roman" w:hAnsi="Times New Roman" w:cs="Times New Roman"/>
        <w:sz w:val="20"/>
        <w:szCs w:val="20"/>
      </w:rPr>
      <w:t>Absent: A’kilah Moore</w:t>
    </w:r>
  </w:p>
  <w:p w:rsidR="00A26E63" w:rsidRDefault="00A26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801"/>
    <w:multiLevelType w:val="hybridMultilevel"/>
    <w:tmpl w:val="B2B8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280A"/>
    <w:multiLevelType w:val="hybridMultilevel"/>
    <w:tmpl w:val="04E2BB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096C2A"/>
    <w:multiLevelType w:val="hybridMultilevel"/>
    <w:tmpl w:val="921E3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BD6740"/>
    <w:multiLevelType w:val="hybridMultilevel"/>
    <w:tmpl w:val="3028C6C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E8"/>
    <w:rsid w:val="000164B8"/>
    <w:rsid w:val="00135384"/>
    <w:rsid w:val="001819FB"/>
    <w:rsid w:val="001F5FEC"/>
    <w:rsid w:val="00221A2E"/>
    <w:rsid w:val="002F1D4F"/>
    <w:rsid w:val="003341DA"/>
    <w:rsid w:val="004013F5"/>
    <w:rsid w:val="00472F2C"/>
    <w:rsid w:val="00496900"/>
    <w:rsid w:val="00706E28"/>
    <w:rsid w:val="007105D0"/>
    <w:rsid w:val="00734E8F"/>
    <w:rsid w:val="00894817"/>
    <w:rsid w:val="00913528"/>
    <w:rsid w:val="00932391"/>
    <w:rsid w:val="009B4B29"/>
    <w:rsid w:val="009F7560"/>
    <w:rsid w:val="00A26E63"/>
    <w:rsid w:val="00AA0BC7"/>
    <w:rsid w:val="00BF7055"/>
    <w:rsid w:val="00C01101"/>
    <w:rsid w:val="00C1333F"/>
    <w:rsid w:val="00C23A1D"/>
    <w:rsid w:val="00C45B15"/>
    <w:rsid w:val="00CD1D0C"/>
    <w:rsid w:val="00DB3E6F"/>
    <w:rsid w:val="00DC4131"/>
    <w:rsid w:val="00DE52E5"/>
    <w:rsid w:val="00E32D35"/>
    <w:rsid w:val="00E72289"/>
    <w:rsid w:val="00E92DB4"/>
    <w:rsid w:val="00EC78E8"/>
    <w:rsid w:val="00FE071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576E-1B41-41D8-9595-FA676C3C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63"/>
  </w:style>
  <w:style w:type="paragraph" w:styleId="Footer">
    <w:name w:val="footer"/>
    <w:basedOn w:val="Normal"/>
    <w:link w:val="FooterChar"/>
    <w:uiPriority w:val="99"/>
    <w:unhideWhenUsed/>
    <w:rsid w:val="00A2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63"/>
  </w:style>
  <w:style w:type="paragraph" w:styleId="BalloonText">
    <w:name w:val="Balloon Text"/>
    <w:basedOn w:val="Normal"/>
    <w:link w:val="BalloonTextChar"/>
    <w:uiPriority w:val="99"/>
    <w:semiHidden/>
    <w:unhideWhenUsed/>
    <w:rsid w:val="0070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286D-534B-423A-8140-DE6003F3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8</cp:revision>
  <cp:lastPrinted>2015-11-06T22:43:00Z</cp:lastPrinted>
  <dcterms:created xsi:type="dcterms:W3CDTF">2015-11-05T21:35:00Z</dcterms:created>
  <dcterms:modified xsi:type="dcterms:W3CDTF">2015-11-06T23:03:00Z</dcterms:modified>
</cp:coreProperties>
</file>