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26" w:rsidRDefault="009E7326" w:rsidP="009E7326">
      <w:pPr>
        <w:pStyle w:val="Resolution2"/>
        <w:jc w:val="center"/>
        <w:rPr>
          <w:b/>
        </w:rPr>
      </w:pPr>
      <w:r w:rsidRPr="009E7326">
        <w:rPr>
          <w:b/>
          <w:highlight w:val="lightGray"/>
        </w:rPr>
        <w:t>RESOLUTIONS 2.01</w:t>
      </w:r>
    </w:p>
    <w:p w:rsidR="009E7326" w:rsidRDefault="009E7326" w:rsidP="009E7326">
      <w:pPr>
        <w:pStyle w:val="Resolution2"/>
        <w:jc w:val="center"/>
        <w:rPr>
          <w:b/>
        </w:rPr>
      </w:pPr>
      <w:bookmarkStart w:id="0" w:name="_GoBack"/>
      <w:bookmarkEnd w:id="0"/>
    </w:p>
    <w:p w:rsidR="009E7326" w:rsidRDefault="009E7326" w:rsidP="009E7326">
      <w:pPr>
        <w:pStyle w:val="Resolution2"/>
        <w:rPr>
          <w:b/>
        </w:rPr>
      </w:pPr>
    </w:p>
    <w:p w:rsidR="009E7326" w:rsidRPr="00457DEF" w:rsidRDefault="009E7326" w:rsidP="009E7326">
      <w:pPr>
        <w:pStyle w:val="Resolution2"/>
      </w:pPr>
      <w:r>
        <w:rPr>
          <w:b/>
        </w:rPr>
        <w:t>*</w:t>
      </w:r>
      <w:r w:rsidRPr="00515F1E">
        <w:rPr>
          <w:b/>
        </w:rPr>
        <w:t xml:space="preserve">2.01 </w:t>
      </w:r>
      <w:r w:rsidRPr="00515F1E">
        <w:rPr>
          <w:b/>
        </w:rPr>
        <w:tab/>
        <w:t xml:space="preserve">F14  </w:t>
      </w:r>
      <w:r w:rsidRPr="00515F1E">
        <w:rPr>
          <w:b/>
        </w:rPr>
        <w:tab/>
        <w:t>Student Learning Outcomes and Faculty Evaluations</w:t>
      </w:r>
    </w:p>
    <w:p w:rsidR="009E7326" w:rsidRPr="00457DEF" w:rsidRDefault="009E7326" w:rsidP="009E7326">
      <w:pPr>
        <w:pStyle w:val="Resolution2"/>
        <w:rPr>
          <w:rFonts w:ascii="Times" w:hAnsi="Times" w:cs="Times"/>
          <w:b/>
        </w:rPr>
      </w:pPr>
    </w:p>
    <w:p w:rsidR="009E7326" w:rsidRPr="00972E5B" w:rsidRDefault="009E7326" w:rsidP="009E7326">
      <w:pPr>
        <w:rPr>
          <w:rFonts w:ascii="Times" w:hAnsi="Times" w:cs="Times"/>
          <w:szCs w:val="26"/>
        </w:rPr>
      </w:pPr>
      <w:r>
        <w:rPr>
          <w:rFonts w:ascii="Times" w:hAnsi="Times" w:cs="Times"/>
          <w:szCs w:val="26"/>
        </w:rPr>
        <w:t>Whereas, Standard III A.6 of the A</w:t>
      </w:r>
      <w:r w:rsidRPr="00972E5B">
        <w:rPr>
          <w:rFonts w:ascii="Times" w:hAnsi="Times" w:cs="Times"/>
          <w:szCs w:val="26"/>
        </w:rPr>
        <w:t xml:space="preserve">ccreditation </w:t>
      </w:r>
      <w:r>
        <w:rPr>
          <w:rFonts w:ascii="Times" w:hAnsi="Times" w:cs="Times"/>
          <w:szCs w:val="26"/>
        </w:rPr>
        <w:t>S</w:t>
      </w:r>
      <w:r w:rsidRPr="00972E5B">
        <w:rPr>
          <w:rFonts w:ascii="Times" w:hAnsi="Times" w:cs="Times"/>
          <w:szCs w:val="26"/>
        </w:rPr>
        <w:t>tandards</w:t>
      </w:r>
      <w:r>
        <w:rPr>
          <w:rStyle w:val="FootnoteReference"/>
          <w:rFonts w:ascii="Times" w:hAnsi="Times" w:cs="Times"/>
          <w:szCs w:val="26"/>
        </w:rPr>
        <w:footnoteReference w:id="1"/>
      </w:r>
      <w:r w:rsidRPr="00972E5B">
        <w:rPr>
          <w:rFonts w:ascii="Times" w:hAnsi="Times" w:cs="Times"/>
          <w:szCs w:val="26"/>
        </w:rPr>
        <w:t xml:space="preserve"> </w:t>
      </w:r>
      <w:r>
        <w:rPr>
          <w:rFonts w:ascii="Times" w:hAnsi="Times" w:cs="Times"/>
          <w:szCs w:val="26"/>
        </w:rPr>
        <w:t>adopted in June 2014</w:t>
      </w:r>
      <w:r w:rsidRPr="00972E5B">
        <w:rPr>
          <w:rFonts w:ascii="Times" w:hAnsi="Times" w:cs="Times"/>
          <w:szCs w:val="26"/>
        </w:rPr>
        <w:t xml:space="preserve"> by the Accrediting Commission for Colleges and Junior Colleges</w:t>
      </w:r>
      <w:r>
        <w:rPr>
          <w:rFonts w:ascii="Times" w:hAnsi="Times" w:cs="Times"/>
          <w:szCs w:val="26"/>
        </w:rPr>
        <w:t xml:space="preserve"> (</w:t>
      </w:r>
      <w:r w:rsidRPr="00972E5B">
        <w:rPr>
          <w:rFonts w:ascii="Times" w:hAnsi="Times" w:cs="Times"/>
          <w:szCs w:val="26"/>
        </w:rPr>
        <w:t>ACCJC</w:t>
      </w:r>
      <w:r>
        <w:rPr>
          <w:rFonts w:ascii="Times" w:hAnsi="Times" w:cs="Times"/>
          <w:szCs w:val="26"/>
        </w:rPr>
        <w:t>)</w:t>
      </w:r>
      <w:r w:rsidRPr="00972E5B">
        <w:rPr>
          <w:rFonts w:ascii="Times" w:hAnsi="Times" w:cs="Times"/>
          <w:szCs w:val="26"/>
        </w:rPr>
        <w:t xml:space="preserve"> state</w:t>
      </w:r>
      <w:r>
        <w:rPr>
          <w:rFonts w:ascii="Times" w:hAnsi="Times" w:cs="Times"/>
          <w:szCs w:val="26"/>
        </w:rPr>
        <w:t>s,</w:t>
      </w:r>
    </w:p>
    <w:p w:rsidR="009E7326" w:rsidRPr="00972E5B" w:rsidRDefault="009E7326" w:rsidP="009E7326">
      <w:pPr>
        <w:rPr>
          <w:rFonts w:ascii="Times" w:hAnsi="Times" w:cs="Times"/>
          <w:szCs w:val="26"/>
        </w:rPr>
      </w:pPr>
    </w:p>
    <w:p w:rsidR="009E7326" w:rsidRPr="00972E5B" w:rsidRDefault="009E7326" w:rsidP="009E7326">
      <w:pPr>
        <w:ind w:firstLine="720"/>
        <w:rPr>
          <w:rFonts w:ascii="Times" w:hAnsi="Times" w:cs="Times"/>
          <w:i/>
          <w:szCs w:val="26"/>
        </w:rPr>
      </w:pPr>
      <w:r w:rsidRPr="00972E5B">
        <w:rPr>
          <w:rFonts w:ascii="Times" w:hAnsi="Times" w:cs="Times"/>
          <w:i/>
          <w:szCs w:val="26"/>
        </w:rPr>
        <w:t xml:space="preserve">The evaluation of faculty, academic administrators, and other personnel directly </w:t>
      </w:r>
    </w:p>
    <w:p w:rsidR="009E7326" w:rsidRPr="00972E5B" w:rsidRDefault="009E7326" w:rsidP="009E7326">
      <w:pPr>
        <w:ind w:firstLine="720"/>
        <w:rPr>
          <w:rFonts w:ascii="Times" w:hAnsi="Times" w:cs="Times"/>
          <w:i/>
          <w:szCs w:val="26"/>
        </w:rPr>
      </w:pPr>
      <w:proofErr w:type="gramStart"/>
      <w:r w:rsidRPr="00972E5B">
        <w:rPr>
          <w:rFonts w:ascii="Times" w:hAnsi="Times" w:cs="Times"/>
          <w:i/>
          <w:szCs w:val="26"/>
        </w:rPr>
        <w:t>responsible</w:t>
      </w:r>
      <w:proofErr w:type="gramEnd"/>
      <w:r w:rsidRPr="00972E5B">
        <w:rPr>
          <w:rFonts w:ascii="Times" w:hAnsi="Times" w:cs="Times"/>
          <w:i/>
          <w:szCs w:val="26"/>
        </w:rPr>
        <w:t xml:space="preserve"> for student learning includes, as a component of that evaluation, </w:t>
      </w:r>
    </w:p>
    <w:p w:rsidR="009E7326" w:rsidRPr="00972E5B" w:rsidRDefault="009E7326" w:rsidP="009E7326">
      <w:pPr>
        <w:ind w:firstLine="720"/>
        <w:rPr>
          <w:rFonts w:ascii="Times" w:hAnsi="Times" w:cs="Times"/>
          <w:i/>
          <w:szCs w:val="26"/>
        </w:rPr>
      </w:pPr>
      <w:proofErr w:type="gramStart"/>
      <w:r w:rsidRPr="00972E5B">
        <w:rPr>
          <w:rFonts w:ascii="Times" w:hAnsi="Times" w:cs="Times"/>
          <w:i/>
          <w:szCs w:val="26"/>
        </w:rPr>
        <w:t>consideration</w:t>
      </w:r>
      <w:proofErr w:type="gramEnd"/>
      <w:r w:rsidRPr="00972E5B">
        <w:rPr>
          <w:rFonts w:ascii="Times" w:hAnsi="Times" w:cs="Times"/>
          <w:i/>
          <w:szCs w:val="26"/>
        </w:rPr>
        <w:t xml:space="preserve"> of how these employees use the results of the assessment of learning </w:t>
      </w:r>
    </w:p>
    <w:p w:rsidR="009E7326" w:rsidRPr="00972E5B" w:rsidRDefault="009E7326" w:rsidP="009E7326">
      <w:pPr>
        <w:ind w:firstLine="720"/>
        <w:rPr>
          <w:rFonts w:ascii="Times" w:hAnsi="Times" w:cs="Times"/>
          <w:i/>
          <w:szCs w:val="26"/>
        </w:rPr>
      </w:pPr>
      <w:proofErr w:type="gramStart"/>
      <w:r w:rsidRPr="00972E5B">
        <w:rPr>
          <w:rFonts w:ascii="Times" w:hAnsi="Times" w:cs="Times"/>
          <w:i/>
          <w:szCs w:val="26"/>
        </w:rPr>
        <w:t>outcomes</w:t>
      </w:r>
      <w:proofErr w:type="gramEnd"/>
      <w:r w:rsidRPr="00972E5B">
        <w:rPr>
          <w:rFonts w:ascii="Times" w:hAnsi="Times" w:cs="Times"/>
          <w:i/>
          <w:szCs w:val="26"/>
        </w:rPr>
        <w:t xml:space="preserve"> t</w:t>
      </w:r>
      <w:r>
        <w:rPr>
          <w:rFonts w:ascii="Times" w:hAnsi="Times" w:cs="Times"/>
          <w:i/>
          <w:szCs w:val="26"/>
        </w:rPr>
        <w:t>o improve teaching and learning;</w:t>
      </w:r>
    </w:p>
    <w:p w:rsidR="009E7326" w:rsidRPr="00972E5B" w:rsidRDefault="009E7326" w:rsidP="009E7326">
      <w:pPr>
        <w:rPr>
          <w:rFonts w:ascii="Times" w:hAnsi="Times" w:cs="Times"/>
          <w:i/>
          <w:szCs w:val="26"/>
        </w:rPr>
      </w:pPr>
    </w:p>
    <w:p w:rsidR="009E7326" w:rsidRPr="00972E5B" w:rsidRDefault="009E7326" w:rsidP="009E7326">
      <w:pPr>
        <w:rPr>
          <w:rFonts w:ascii="Times" w:hAnsi="Times" w:cs="Times"/>
          <w:szCs w:val="26"/>
        </w:rPr>
      </w:pPr>
      <w:r w:rsidRPr="00972E5B">
        <w:rPr>
          <w:rFonts w:ascii="Times" w:hAnsi="Times" w:cs="Times"/>
          <w:szCs w:val="26"/>
        </w:rPr>
        <w:t xml:space="preserve">Whereas, </w:t>
      </w:r>
      <w:r>
        <w:rPr>
          <w:rFonts w:ascii="Times" w:hAnsi="Times" w:cs="Times"/>
          <w:szCs w:val="26"/>
        </w:rPr>
        <w:t>C</w:t>
      </w:r>
      <w:r w:rsidRPr="00972E5B">
        <w:rPr>
          <w:rFonts w:ascii="Times" w:hAnsi="Times" w:cs="Times"/>
          <w:szCs w:val="26"/>
        </w:rPr>
        <w:t xml:space="preserve">ollege personnel </w:t>
      </w:r>
      <w:r>
        <w:rPr>
          <w:rFonts w:ascii="Times" w:hAnsi="Times" w:cs="Times"/>
          <w:szCs w:val="26"/>
        </w:rPr>
        <w:t>experience an inability to reach</w:t>
      </w:r>
      <w:r w:rsidRPr="00972E5B">
        <w:rPr>
          <w:rFonts w:ascii="Times" w:hAnsi="Times" w:cs="Times"/>
          <w:szCs w:val="26"/>
        </w:rPr>
        <w:t xml:space="preserve"> </w:t>
      </w:r>
      <w:r>
        <w:rPr>
          <w:rFonts w:ascii="Times" w:hAnsi="Times" w:cs="Times"/>
          <w:szCs w:val="26"/>
        </w:rPr>
        <w:t>consensus</w:t>
      </w:r>
      <w:r w:rsidRPr="00972E5B">
        <w:rPr>
          <w:rFonts w:ascii="Times" w:hAnsi="Times" w:cs="Times"/>
          <w:szCs w:val="26"/>
        </w:rPr>
        <w:t xml:space="preserve"> regarding how to</w:t>
      </w:r>
      <w:r>
        <w:rPr>
          <w:rFonts w:ascii="Times" w:hAnsi="Times" w:cs="Times"/>
          <w:szCs w:val="26"/>
        </w:rPr>
        <w:t xml:space="preserve"> interpret Standard III A.6, which causes confusion about the impact on performance evaluations, including evaluations for faculty; and</w:t>
      </w:r>
    </w:p>
    <w:p w:rsidR="009E7326" w:rsidRPr="00972E5B" w:rsidRDefault="009E7326" w:rsidP="009E7326">
      <w:pPr>
        <w:rPr>
          <w:rFonts w:ascii="Times" w:hAnsi="Times" w:cs="Times"/>
          <w:szCs w:val="26"/>
        </w:rPr>
      </w:pPr>
    </w:p>
    <w:p w:rsidR="009E7326" w:rsidRPr="00972E5B" w:rsidRDefault="009E7326" w:rsidP="009E7326">
      <w:pPr>
        <w:rPr>
          <w:rFonts w:ascii="Times" w:hAnsi="Times" w:cs="Times"/>
          <w:szCs w:val="26"/>
        </w:rPr>
      </w:pPr>
      <w:r w:rsidRPr="00972E5B">
        <w:rPr>
          <w:rFonts w:ascii="Times" w:hAnsi="Times" w:cs="Times"/>
          <w:szCs w:val="26"/>
        </w:rPr>
        <w:t xml:space="preserve">Whereas, </w:t>
      </w:r>
      <w:proofErr w:type="gramStart"/>
      <w:r>
        <w:rPr>
          <w:rFonts w:ascii="Times" w:hAnsi="Times" w:cs="Times"/>
          <w:szCs w:val="26"/>
        </w:rPr>
        <w:t>T</w:t>
      </w:r>
      <w:r w:rsidRPr="00972E5B">
        <w:rPr>
          <w:rFonts w:ascii="Times" w:hAnsi="Times" w:cs="Times"/>
          <w:szCs w:val="26"/>
        </w:rPr>
        <w:t>he</w:t>
      </w:r>
      <w:proofErr w:type="gramEnd"/>
      <w:r w:rsidRPr="00972E5B">
        <w:rPr>
          <w:rFonts w:ascii="Times" w:hAnsi="Times" w:cs="Times"/>
          <w:szCs w:val="26"/>
        </w:rPr>
        <w:t xml:space="preserve"> assessment of student learning and professional development of faculty are ac</w:t>
      </w:r>
      <w:r>
        <w:rPr>
          <w:rFonts w:ascii="Times" w:hAnsi="Times" w:cs="Times"/>
          <w:szCs w:val="26"/>
        </w:rPr>
        <w:t>ademic and professional matters;</w:t>
      </w:r>
    </w:p>
    <w:p w:rsidR="009E7326" w:rsidRPr="00972E5B" w:rsidRDefault="009E7326" w:rsidP="009E7326">
      <w:pPr>
        <w:rPr>
          <w:rFonts w:ascii="Times" w:hAnsi="Times" w:cs="Times"/>
          <w:szCs w:val="26"/>
        </w:rPr>
      </w:pPr>
    </w:p>
    <w:p w:rsidR="009E7326" w:rsidRDefault="009E7326" w:rsidP="009E7326">
      <w:pPr>
        <w:rPr>
          <w:rFonts w:ascii="Times" w:hAnsi="Times" w:cs="Times"/>
          <w:szCs w:val="26"/>
        </w:rPr>
      </w:pPr>
      <w:r w:rsidRPr="00972E5B">
        <w:rPr>
          <w:rFonts w:ascii="Times" w:hAnsi="Times" w:cs="Times"/>
          <w:szCs w:val="26"/>
        </w:rPr>
        <w:t xml:space="preserve">Resolved, </w:t>
      </w:r>
      <w:proofErr w:type="gramStart"/>
      <w:r>
        <w:rPr>
          <w:rFonts w:ascii="Times" w:hAnsi="Times" w:cs="Times"/>
          <w:szCs w:val="26"/>
        </w:rPr>
        <w:t>That</w:t>
      </w:r>
      <w:proofErr w:type="gramEnd"/>
      <w:r>
        <w:rPr>
          <w:rFonts w:ascii="Times" w:hAnsi="Times" w:cs="Times"/>
          <w:szCs w:val="26"/>
        </w:rPr>
        <w:t xml:space="preserve"> the Academic Senate for California Community Colleges recommend that Standard III A. 6 of the Accreditation Standards, adopted in June 2014 by the Accrediting Commission for Community and Junior Colleges (ACCJC), be interpreted for faculty as follows and disseminate this interpretation to local colleges, system partners, and the ACCJC:</w:t>
      </w:r>
    </w:p>
    <w:p w:rsidR="009E7326" w:rsidRDefault="009E7326" w:rsidP="009E7326">
      <w:pPr>
        <w:rPr>
          <w:rFonts w:ascii="Times" w:hAnsi="Times" w:cs="Times"/>
          <w:szCs w:val="26"/>
        </w:rPr>
      </w:pPr>
    </w:p>
    <w:p w:rsidR="009E7326" w:rsidRDefault="009E7326" w:rsidP="009E7326">
      <w:pPr>
        <w:ind w:left="720"/>
        <w:rPr>
          <w:rFonts w:ascii="Times" w:hAnsi="Times" w:cs="Times"/>
          <w:szCs w:val="26"/>
        </w:rPr>
      </w:pPr>
      <w:proofErr w:type="gramStart"/>
      <w:r w:rsidRPr="00972E5B">
        <w:rPr>
          <w:rFonts w:ascii="Times" w:hAnsi="Times" w:cs="Times"/>
          <w:i/>
          <w:szCs w:val="26"/>
        </w:rPr>
        <w:t>Faculty are</w:t>
      </w:r>
      <w:proofErr w:type="gramEnd"/>
      <w:r w:rsidRPr="00972E5B">
        <w:rPr>
          <w:rFonts w:ascii="Times" w:hAnsi="Times" w:cs="Times"/>
          <w:i/>
          <w:szCs w:val="26"/>
        </w:rPr>
        <w:t xml:space="preserve"> responsible for </w:t>
      </w:r>
      <w:r>
        <w:rPr>
          <w:rFonts w:ascii="Times" w:hAnsi="Times" w:cs="Times"/>
          <w:i/>
          <w:szCs w:val="26"/>
        </w:rPr>
        <w:t xml:space="preserve">using the results of </w:t>
      </w:r>
      <w:r w:rsidRPr="00972E5B">
        <w:rPr>
          <w:rFonts w:ascii="Times" w:hAnsi="Times" w:cs="Times"/>
          <w:i/>
          <w:szCs w:val="26"/>
        </w:rPr>
        <w:t xml:space="preserve">the assessment of student learning to participate in college processes to evaluate student </w:t>
      </w:r>
      <w:r>
        <w:rPr>
          <w:rFonts w:ascii="Times" w:hAnsi="Times" w:cs="Times"/>
          <w:i/>
          <w:szCs w:val="26"/>
        </w:rPr>
        <w:t>achievement</w:t>
      </w:r>
      <w:r w:rsidRPr="00972E5B">
        <w:rPr>
          <w:rFonts w:ascii="Times" w:hAnsi="Times" w:cs="Times"/>
          <w:i/>
          <w:szCs w:val="26"/>
        </w:rPr>
        <w:t xml:space="preserve"> at the course, discipline, and college-wide scale as appropriate.  Faculty should </w:t>
      </w:r>
      <w:r>
        <w:rPr>
          <w:rFonts w:ascii="Times" w:hAnsi="Times" w:cs="Times"/>
          <w:i/>
          <w:szCs w:val="26"/>
        </w:rPr>
        <w:t xml:space="preserve">engage in </w:t>
      </w:r>
      <w:r w:rsidRPr="00972E5B">
        <w:rPr>
          <w:rFonts w:ascii="Times" w:hAnsi="Times" w:cs="Times"/>
          <w:i/>
          <w:szCs w:val="26"/>
        </w:rPr>
        <w:t xml:space="preserve">professional growth and development that </w:t>
      </w:r>
      <w:r>
        <w:rPr>
          <w:rFonts w:ascii="Times" w:hAnsi="Times" w:cs="Times"/>
          <w:i/>
          <w:szCs w:val="26"/>
        </w:rPr>
        <w:t>improves teaching and learning.  The effective participation of faculty in these collegial processes may be a factor in the evaluation of faculty;</w:t>
      </w:r>
      <w:r w:rsidRPr="00972E5B">
        <w:rPr>
          <w:rFonts w:ascii="Times" w:hAnsi="Times" w:cs="Times"/>
          <w:i/>
          <w:szCs w:val="26"/>
        </w:rPr>
        <w:t xml:space="preserve"> however, the results of student assessment</w:t>
      </w:r>
      <w:r>
        <w:rPr>
          <w:rFonts w:ascii="Times" w:hAnsi="Times" w:cs="Times"/>
          <w:i/>
          <w:szCs w:val="26"/>
        </w:rPr>
        <w:t>s</w:t>
      </w:r>
      <w:r w:rsidRPr="00972E5B">
        <w:rPr>
          <w:rFonts w:ascii="Times" w:hAnsi="Times" w:cs="Times"/>
          <w:i/>
          <w:szCs w:val="26"/>
        </w:rPr>
        <w:t xml:space="preserve"> are not a basis for faculty evaluation</w:t>
      </w:r>
      <w:r>
        <w:rPr>
          <w:rFonts w:ascii="Times" w:hAnsi="Times" w:cs="Times"/>
          <w:szCs w:val="26"/>
        </w:rPr>
        <w:t>.</w:t>
      </w:r>
    </w:p>
    <w:p w:rsidR="009E7326" w:rsidRDefault="009E7326" w:rsidP="009E7326">
      <w:pPr>
        <w:rPr>
          <w:rFonts w:ascii="Times" w:hAnsi="Times" w:cs="Times"/>
          <w:szCs w:val="26"/>
        </w:rPr>
      </w:pPr>
    </w:p>
    <w:p w:rsidR="009E7326" w:rsidRDefault="009E7326" w:rsidP="009E7326">
      <w:pPr>
        <w:rPr>
          <w:rFonts w:ascii="Times" w:hAnsi="Times" w:cs="Times"/>
          <w:szCs w:val="26"/>
        </w:rPr>
      </w:pPr>
      <w:r w:rsidRPr="00972E5B">
        <w:rPr>
          <w:rFonts w:ascii="Times" w:hAnsi="Times" w:cs="Times"/>
          <w:szCs w:val="26"/>
        </w:rPr>
        <w:t xml:space="preserve">Contact:  John </w:t>
      </w:r>
      <w:proofErr w:type="spellStart"/>
      <w:r w:rsidRPr="00972E5B">
        <w:rPr>
          <w:rFonts w:ascii="Times" w:hAnsi="Times" w:cs="Times"/>
          <w:szCs w:val="26"/>
        </w:rPr>
        <w:t>Stanskas</w:t>
      </w:r>
      <w:proofErr w:type="spellEnd"/>
      <w:r w:rsidRPr="00972E5B">
        <w:rPr>
          <w:rFonts w:ascii="Times" w:hAnsi="Times" w:cs="Times"/>
          <w:szCs w:val="26"/>
        </w:rPr>
        <w:t xml:space="preserve">, </w:t>
      </w:r>
      <w:r>
        <w:rPr>
          <w:rFonts w:ascii="Times" w:hAnsi="Times" w:cs="Times"/>
          <w:szCs w:val="26"/>
        </w:rPr>
        <w:t>Executive Committee, Accreditation and Assessment Committee</w:t>
      </w:r>
    </w:p>
    <w:p w:rsidR="000C11FA" w:rsidRDefault="009E7326"/>
    <w:sectPr w:rsidR="000C11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326" w:rsidRDefault="009E7326" w:rsidP="009E7326">
      <w:r>
        <w:separator/>
      </w:r>
    </w:p>
  </w:endnote>
  <w:endnote w:type="continuationSeparator" w:id="0">
    <w:p w:rsidR="009E7326" w:rsidRDefault="009E7326" w:rsidP="009E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326" w:rsidRDefault="009E7326" w:rsidP="009E7326">
      <w:r>
        <w:separator/>
      </w:r>
    </w:p>
  </w:footnote>
  <w:footnote w:type="continuationSeparator" w:id="0">
    <w:p w:rsidR="009E7326" w:rsidRDefault="009E7326" w:rsidP="009E7326">
      <w:r>
        <w:continuationSeparator/>
      </w:r>
    </w:p>
  </w:footnote>
  <w:footnote w:id="1">
    <w:p w:rsidR="009E7326" w:rsidRPr="003540F3" w:rsidRDefault="009E7326" w:rsidP="009E7326">
      <w:pPr>
        <w:pStyle w:val="FootnoteText"/>
        <w:rPr>
          <w:rFonts w:ascii="Times New Roman" w:hAnsi="Times New Roman" w:cs="Times New Roman"/>
        </w:rPr>
      </w:pPr>
      <w:r>
        <w:rPr>
          <w:rStyle w:val="FootnoteReference"/>
        </w:rPr>
        <w:footnoteRef/>
      </w:r>
      <w:r>
        <w:t xml:space="preserve"> </w:t>
      </w:r>
      <w:hyperlink r:id="rId1" w:history="1">
        <w:r w:rsidRPr="00FB6465">
          <w:rPr>
            <w:rStyle w:val="Hyperlink"/>
            <w:rFonts w:ascii="Times New Roman" w:hAnsi="Times New Roman" w:cs="Times New Roman"/>
            <w:sz w:val="20"/>
            <w:szCs w:val="20"/>
          </w:rPr>
          <w:t>http://www.accjc.org/wp-content/uploads/2014/07/Accreditation_Standards_Adopted_June_2014.pdf</w:t>
        </w:r>
      </w:hyperlink>
    </w:p>
    <w:p w:rsidR="009E7326" w:rsidRDefault="009E7326" w:rsidP="009E732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26"/>
    <w:rsid w:val="009E7326"/>
    <w:rsid w:val="00AF63E5"/>
    <w:rsid w:val="00E4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26"/>
    <w:pPr>
      <w:spacing w:after="0" w:line="240" w:lineRule="auto"/>
    </w:pPr>
    <w:rPr>
      <w:rFonts w:eastAsiaTheme="minorEastAsia"/>
      <w:sz w:val="24"/>
      <w:szCs w:val="24"/>
    </w:rPr>
  </w:style>
  <w:style w:type="paragraph" w:styleId="Heading2">
    <w:name w:val="heading 2"/>
    <w:basedOn w:val="Normal"/>
    <w:next w:val="Normal"/>
    <w:link w:val="Heading2Char"/>
    <w:uiPriority w:val="9"/>
    <w:semiHidden/>
    <w:unhideWhenUsed/>
    <w:qFormat/>
    <w:rsid w:val="009E73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7326"/>
    <w:rPr>
      <w:rFonts w:eastAsiaTheme="minorHAnsi"/>
    </w:rPr>
  </w:style>
  <w:style w:type="character" w:customStyle="1" w:styleId="FootnoteTextChar">
    <w:name w:val="Footnote Text Char"/>
    <w:basedOn w:val="DefaultParagraphFont"/>
    <w:link w:val="FootnoteText"/>
    <w:uiPriority w:val="99"/>
    <w:rsid w:val="009E7326"/>
    <w:rPr>
      <w:sz w:val="24"/>
      <w:szCs w:val="24"/>
    </w:rPr>
  </w:style>
  <w:style w:type="character" w:styleId="FootnoteReference">
    <w:name w:val="footnote reference"/>
    <w:basedOn w:val="DefaultParagraphFont"/>
    <w:uiPriority w:val="99"/>
    <w:unhideWhenUsed/>
    <w:rsid w:val="009E7326"/>
    <w:rPr>
      <w:vertAlign w:val="superscript"/>
    </w:rPr>
  </w:style>
  <w:style w:type="character" w:styleId="Hyperlink">
    <w:name w:val="Hyperlink"/>
    <w:basedOn w:val="DefaultParagraphFont"/>
    <w:uiPriority w:val="99"/>
    <w:unhideWhenUsed/>
    <w:rsid w:val="009E7326"/>
    <w:rPr>
      <w:color w:val="0000FF" w:themeColor="hyperlink"/>
      <w:u w:val="single"/>
    </w:rPr>
  </w:style>
  <w:style w:type="paragraph" w:customStyle="1" w:styleId="Resolution2">
    <w:name w:val="Resolution 2"/>
    <w:basedOn w:val="Heading2"/>
    <w:qFormat/>
    <w:rsid w:val="009E7326"/>
    <w:pPr>
      <w:spacing w:before="40"/>
    </w:pPr>
    <w:rPr>
      <w:rFonts w:ascii="Times New Roman" w:hAnsi="Times New Roman"/>
      <w:b w:val="0"/>
      <w:bCs w:val="0"/>
      <w:color w:val="auto"/>
    </w:rPr>
  </w:style>
  <w:style w:type="character" w:customStyle="1" w:styleId="Heading2Char">
    <w:name w:val="Heading 2 Char"/>
    <w:basedOn w:val="DefaultParagraphFont"/>
    <w:link w:val="Heading2"/>
    <w:uiPriority w:val="9"/>
    <w:semiHidden/>
    <w:rsid w:val="009E732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26"/>
    <w:pPr>
      <w:spacing w:after="0" w:line="240" w:lineRule="auto"/>
    </w:pPr>
    <w:rPr>
      <w:rFonts w:eastAsiaTheme="minorEastAsia"/>
      <w:sz w:val="24"/>
      <w:szCs w:val="24"/>
    </w:rPr>
  </w:style>
  <w:style w:type="paragraph" w:styleId="Heading2">
    <w:name w:val="heading 2"/>
    <w:basedOn w:val="Normal"/>
    <w:next w:val="Normal"/>
    <w:link w:val="Heading2Char"/>
    <w:uiPriority w:val="9"/>
    <w:semiHidden/>
    <w:unhideWhenUsed/>
    <w:qFormat/>
    <w:rsid w:val="009E73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7326"/>
    <w:rPr>
      <w:rFonts w:eastAsiaTheme="minorHAnsi"/>
    </w:rPr>
  </w:style>
  <w:style w:type="character" w:customStyle="1" w:styleId="FootnoteTextChar">
    <w:name w:val="Footnote Text Char"/>
    <w:basedOn w:val="DefaultParagraphFont"/>
    <w:link w:val="FootnoteText"/>
    <w:uiPriority w:val="99"/>
    <w:rsid w:val="009E7326"/>
    <w:rPr>
      <w:sz w:val="24"/>
      <w:szCs w:val="24"/>
    </w:rPr>
  </w:style>
  <w:style w:type="character" w:styleId="FootnoteReference">
    <w:name w:val="footnote reference"/>
    <w:basedOn w:val="DefaultParagraphFont"/>
    <w:uiPriority w:val="99"/>
    <w:unhideWhenUsed/>
    <w:rsid w:val="009E7326"/>
    <w:rPr>
      <w:vertAlign w:val="superscript"/>
    </w:rPr>
  </w:style>
  <w:style w:type="character" w:styleId="Hyperlink">
    <w:name w:val="Hyperlink"/>
    <w:basedOn w:val="DefaultParagraphFont"/>
    <w:uiPriority w:val="99"/>
    <w:unhideWhenUsed/>
    <w:rsid w:val="009E7326"/>
    <w:rPr>
      <w:color w:val="0000FF" w:themeColor="hyperlink"/>
      <w:u w:val="single"/>
    </w:rPr>
  </w:style>
  <w:style w:type="paragraph" w:customStyle="1" w:styleId="Resolution2">
    <w:name w:val="Resolution 2"/>
    <w:basedOn w:val="Heading2"/>
    <w:qFormat/>
    <w:rsid w:val="009E7326"/>
    <w:pPr>
      <w:spacing w:before="40"/>
    </w:pPr>
    <w:rPr>
      <w:rFonts w:ascii="Times New Roman" w:hAnsi="Times New Roman"/>
      <w:b w:val="0"/>
      <w:bCs w:val="0"/>
      <w:color w:val="auto"/>
    </w:rPr>
  </w:style>
  <w:style w:type="character" w:customStyle="1" w:styleId="Heading2Char">
    <w:name w:val="Heading 2 Char"/>
    <w:basedOn w:val="DefaultParagraphFont"/>
    <w:link w:val="Heading2"/>
    <w:uiPriority w:val="9"/>
    <w:semiHidden/>
    <w:rsid w:val="009E732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accjc.org/wp-content/uploads/2014/07/Accreditation_Standards_Adopted_June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1</cp:revision>
  <dcterms:created xsi:type="dcterms:W3CDTF">2014-10-27T21:47:00Z</dcterms:created>
  <dcterms:modified xsi:type="dcterms:W3CDTF">2014-10-27T21:48:00Z</dcterms:modified>
</cp:coreProperties>
</file>